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99" w:rsidRPr="009E6DC5" w:rsidRDefault="009E06F6" w:rsidP="004E0499">
      <w:pPr>
        <w:widowControl/>
        <w:spacing w:line="480" w:lineRule="auto"/>
        <w:ind w:rightChars="-747" w:right="-1569"/>
        <w:jc w:val="left"/>
        <w:rPr>
          <w:rFonts w:asciiTheme="majorHAnsi" w:eastAsia="Arial Unicode MS" w:hAnsiTheme="majorHAnsi" w:cstheme="majorHAnsi"/>
          <w:sz w:val="24"/>
          <w:szCs w:val="24"/>
        </w:rPr>
      </w:pPr>
      <w:proofErr w:type="spellStart"/>
      <w:r w:rsidRPr="009E6DC5">
        <w:rPr>
          <w:rFonts w:asciiTheme="majorHAnsi" w:eastAsia="Arial Unicode MS" w:hAnsiTheme="majorHAnsi" w:cstheme="majorHAnsi" w:hint="eastAsia"/>
          <w:i/>
          <w:sz w:val="24"/>
          <w:szCs w:val="24"/>
        </w:rPr>
        <w:t>Microchemical</w:t>
      </w:r>
      <w:proofErr w:type="spellEnd"/>
      <w:r w:rsidRPr="009E6DC5">
        <w:rPr>
          <w:rFonts w:asciiTheme="majorHAnsi" w:eastAsia="Arial Unicode MS" w:hAnsiTheme="majorHAnsi" w:cstheme="majorHAnsi" w:hint="eastAsia"/>
          <w:i/>
          <w:sz w:val="24"/>
          <w:szCs w:val="24"/>
        </w:rPr>
        <w:t xml:space="preserve"> Journal</w:t>
      </w:r>
    </w:p>
    <w:p w:rsidR="004E0499" w:rsidRPr="004E0499" w:rsidRDefault="004E0499" w:rsidP="004E0499">
      <w:pPr>
        <w:spacing w:line="480" w:lineRule="auto"/>
        <w:ind w:rightChars="-747" w:right="-1569"/>
        <w:rPr>
          <w:rFonts w:asciiTheme="majorHAnsi" w:hAnsiTheme="majorHAnsi" w:cstheme="majorHAnsi"/>
          <w:sz w:val="24"/>
          <w:szCs w:val="24"/>
        </w:rPr>
      </w:pPr>
      <w:r w:rsidRPr="004E0499">
        <w:rPr>
          <w:rFonts w:asciiTheme="majorHAnsi" w:hAnsiTheme="majorHAnsi" w:cstheme="majorHAnsi" w:hint="eastAsia"/>
          <w:sz w:val="24"/>
          <w:szCs w:val="24"/>
        </w:rPr>
        <w:t>A</w:t>
      </w:r>
      <w:r w:rsidRPr="004E0499">
        <w:rPr>
          <w:rFonts w:asciiTheme="majorHAnsi" w:hAnsiTheme="majorHAnsi" w:cstheme="majorHAnsi"/>
          <w:sz w:val="24"/>
          <w:szCs w:val="24"/>
        </w:rPr>
        <w:t xml:space="preserve"> rapid LC-MS/MS</w:t>
      </w:r>
      <w:r w:rsidRPr="004E0499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4E0499">
        <w:rPr>
          <w:rFonts w:asciiTheme="majorHAnsi" w:hAnsiTheme="majorHAnsi" w:cstheme="majorHAnsi"/>
          <w:sz w:val="24"/>
          <w:szCs w:val="24"/>
        </w:rPr>
        <w:t xml:space="preserve">method for </w:t>
      </w:r>
      <w:r w:rsidRPr="004E0499">
        <w:rPr>
          <w:rFonts w:asciiTheme="majorHAnsi" w:hAnsiTheme="majorHAnsi" w:cstheme="majorHAnsi" w:hint="eastAsia"/>
          <w:sz w:val="24"/>
          <w:szCs w:val="24"/>
        </w:rPr>
        <w:t xml:space="preserve">lutein </w:t>
      </w:r>
      <w:r w:rsidRPr="004E0499">
        <w:rPr>
          <w:rFonts w:asciiTheme="majorHAnsi" w:hAnsiTheme="majorHAnsi" w:cstheme="majorHAnsi"/>
          <w:sz w:val="24"/>
          <w:szCs w:val="24"/>
        </w:rPr>
        <w:t xml:space="preserve">quantification </w:t>
      </w:r>
      <w:r w:rsidRPr="004E0499">
        <w:rPr>
          <w:rFonts w:asciiTheme="majorHAnsi" w:hAnsiTheme="majorHAnsi" w:cstheme="majorHAnsi" w:hint="eastAsia"/>
          <w:sz w:val="24"/>
          <w:szCs w:val="24"/>
        </w:rPr>
        <w:t>in</w:t>
      </w:r>
      <w:r w:rsidRPr="004E0499">
        <w:rPr>
          <w:rFonts w:asciiTheme="majorHAnsi" w:hAnsiTheme="majorHAnsi" w:cstheme="majorHAnsi"/>
          <w:sz w:val="24"/>
          <w:szCs w:val="24"/>
        </w:rPr>
        <w:t xml:space="preserve"> spinach</w:t>
      </w:r>
      <w:r w:rsidRPr="004E0499">
        <w:rPr>
          <w:rFonts w:asciiTheme="majorHAnsi" w:hAnsiTheme="majorHAnsi" w:cstheme="majorHAnsi" w:hint="eastAsia"/>
          <w:sz w:val="24"/>
          <w:szCs w:val="24"/>
        </w:rPr>
        <w:t xml:space="preserve"> (</w:t>
      </w:r>
      <w:proofErr w:type="spellStart"/>
      <w:r w:rsidRPr="004E0499">
        <w:rPr>
          <w:rFonts w:asciiTheme="majorHAnsi" w:hAnsiTheme="majorHAnsi" w:cstheme="majorHAnsi" w:hint="eastAsia"/>
          <w:i/>
          <w:sz w:val="24"/>
          <w:szCs w:val="24"/>
        </w:rPr>
        <w:t>Spinacia</w:t>
      </w:r>
      <w:proofErr w:type="spellEnd"/>
      <w:r w:rsidRPr="004E0499">
        <w:rPr>
          <w:rFonts w:asciiTheme="majorHAnsi" w:hAnsiTheme="majorHAnsi" w:cstheme="majorHAnsi" w:hint="eastAsia"/>
          <w:i/>
          <w:sz w:val="24"/>
          <w:szCs w:val="24"/>
        </w:rPr>
        <w:t xml:space="preserve"> </w:t>
      </w:r>
      <w:proofErr w:type="spellStart"/>
      <w:r w:rsidRPr="004E0499">
        <w:rPr>
          <w:rFonts w:asciiTheme="majorHAnsi" w:hAnsiTheme="majorHAnsi" w:cstheme="majorHAnsi" w:hint="eastAsia"/>
          <w:i/>
          <w:sz w:val="24"/>
          <w:szCs w:val="24"/>
        </w:rPr>
        <w:t>oleracea</w:t>
      </w:r>
      <w:proofErr w:type="spellEnd"/>
      <w:r w:rsidRPr="004E0499">
        <w:rPr>
          <w:rFonts w:asciiTheme="majorHAnsi" w:hAnsiTheme="majorHAnsi" w:cstheme="majorHAnsi" w:hint="eastAsia"/>
          <w:sz w:val="24"/>
          <w:szCs w:val="24"/>
        </w:rPr>
        <w:t>)</w:t>
      </w:r>
    </w:p>
    <w:p w:rsidR="007F0158" w:rsidRDefault="004E0499" w:rsidP="004E0499">
      <w:pPr>
        <w:spacing w:line="480" w:lineRule="auto"/>
        <w:ind w:rightChars="-747" w:right="-1569"/>
        <w:rPr>
          <w:rFonts w:asciiTheme="majorHAnsi" w:hAnsiTheme="majorHAnsi" w:cstheme="majorHAnsi"/>
          <w:sz w:val="24"/>
          <w:szCs w:val="24"/>
        </w:rPr>
      </w:pPr>
      <w:r w:rsidRPr="004E0499">
        <w:rPr>
          <w:rFonts w:asciiTheme="majorHAnsi" w:hAnsiTheme="majorHAnsi" w:cstheme="majorHAnsi"/>
          <w:sz w:val="24"/>
          <w:szCs w:val="24"/>
        </w:rPr>
        <w:t xml:space="preserve">Masashi Miura; Miho Sakai; </w:t>
      </w:r>
      <w:proofErr w:type="spellStart"/>
      <w:r w:rsidRPr="004E0499">
        <w:rPr>
          <w:rFonts w:asciiTheme="majorHAnsi" w:hAnsiTheme="majorHAnsi" w:cstheme="majorHAnsi"/>
          <w:sz w:val="24"/>
          <w:szCs w:val="24"/>
        </w:rPr>
        <w:t>Mamiko</w:t>
      </w:r>
      <w:proofErr w:type="spellEnd"/>
      <w:r w:rsidRPr="004E04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E0499">
        <w:rPr>
          <w:rFonts w:asciiTheme="majorHAnsi" w:hAnsiTheme="majorHAnsi" w:cstheme="majorHAnsi"/>
          <w:sz w:val="24"/>
          <w:szCs w:val="24"/>
        </w:rPr>
        <w:t>Nogami</w:t>
      </w:r>
      <w:proofErr w:type="spellEnd"/>
      <w:r w:rsidRPr="004E0499">
        <w:rPr>
          <w:rFonts w:asciiTheme="majorHAnsi" w:hAnsiTheme="majorHAnsi" w:cstheme="majorHAnsi"/>
          <w:sz w:val="24"/>
          <w:szCs w:val="24"/>
        </w:rPr>
        <w:t xml:space="preserve">; Miwa Sato; Takeshi </w:t>
      </w:r>
      <w:proofErr w:type="spellStart"/>
      <w:r w:rsidRPr="004E0499">
        <w:rPr>
          <w:rFonts w:asciiTheme="majorHAnsi" w:hAnsiTheme="majorHAnsi" w:cstheme="majorHAnsi"/>
          <w:sz w:val="24"/>
          <w:szCs w:val="24"/>
        </w:rPr>
        <w:t>Yatsushiro</w:t>
      </w:r>
      <w:proofErr w:type="spellEnd"/>
    </w:p>
    <w:p w:rsidR="00994761" w:rsidRPr="004E0499" w:rsidRDefault="00994761" w:rsidP="004E0499">
      <w:pPr>
        <w:spacing w:line="480" w:lineRule="auto"/>
        <w:ind w:rightChars="-747" w:right="-1569"/>
        <w:rPr>
          <w:rFonts w:asciiTheme="majorHAnsi" w:eastAsia="Arial Unicode MS" w:hAnsiTheme="majorHAnsi" w:cstheme="majorHAnsi"/>
          <w:noProof/>
          <w:sz w:val="24"/>
          <w:szCs w:val="24"/>
        </w:rPr>
      </w:pPr>
    </w:p>
    <w:p w:rsidR="002517CB" w:rsidRPr="004E0499" w:rsidRDefault="00786FEB" w:rsidP="004E0499">
      <w:pPr>
        <w:widowControl/>
        <w:spacing w:line="480" w:lineRule="auto"/>
        <w:ind w:rightChars="-747" w:right="-1569"/>
        <w:jc w:val="left"/>
        <w:rPr>
          <w:rFonts w:asciiTheme="majorHAnsi" w:eastAsia="Arial Unicode MS" w:hAnsiTheme="majorHAnsi" w:cstheme="majorHAnsi"/>
          <w:sz w:val="24"/>
          <w:szCs w:val="24"/>
        </w:rPr>
      </w:pPr>
      <w:r w:rsidRPr="004E0499">
        <w:rPr>
          <w:rFonts w:asciiTheme="majorHAnsi" w:eastAsia="Arial Unicode MS" w:hAnsiTheme="majorHAnsi" w:cstheme="majorHAnsi" w:hint="eastAsia"/>
          <w:sz w:val="24"/>
          <w:szCs w:val="24"/>
        </w:rPr>
        <w:t>Appendix A.</w:t>
      </w:r>
      <w:r w:rsidR="004E0499">
        <w:rPr>
          <w:rFonts w:asciiTheme="majorHAnsi" w:eastAsia="Arial Unicode MS" w:hAnsiTheme="majorHAnsi" w:cstheme="majorHAnsi" w:hint="eastAsia"/>
          <w:sz w:val="24"/>
          <w:szCs w:val="24"/>
        </w:rPr>
        <w:t xml:space="preserve"> </w:t>
      </w:r>
      <w:r w:rsidRPr="004E0499">
        <w:rPr>
          <w:rFonts w:asciiTheme="majorHAnsi" w:eastAsia="Arial Unicode MS" w:hAnsiTheme="majorHAnsi" w:cstheme="majorHAnsi" w:hint="eastAsia"/>
          <w:sz w:val="24"/>
          <w:szCs w:val="24"/>
        </w:rPr>
        <w:t>Supplementary data</w:t>
      </w:r>
    </w:p>
    <w:p w:rsidR="002517CB" w:rsidRPr="004E0499" w:rsidRDefault="002517CB" w:rsidP="002517CB">
      <w:pPr>
        <w:ind w:rightChars="-747" w:right="-1569"/>
        <w:rPr>
          <w:rFonts w:asciiTheme="majorHAnsi" w:hAnsiTheme="majorHAnsi" w:cstheme="majorHAnsi"/>
          <w:sz w:val="24"/>
          <w:szCs w:val="24"/>
        </w:rPr>
      </w:pPr>
      <w:r w:rsidRPr="004E0499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15CD4488" wp14:editId="7ECAE487">
            <wp:extent cx="3140063" cy="4787660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25" cy="479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0C" w:rsidRPr="009E6DC5" w:rsidRDefault="007F0158" w:rsidP="004E0499">
      <w:pPr>
        <w:widowControl/>
        <w:spacing w:beforeLines="100" w:before="360" w:afterLines="100" w:after="360" w:line="480" w:lineRule="auto"/>
        <w:ind w:rightChars="669" w:right="1405"/>
        <w:jc w:val="left"/>
        <w:rPr>
          <w:rFonts w:asciiTheme="majorHAnsi" w:eastAsia="Arial Unicode MS" w:hAnsiTheme="majorHAnsi" w:cstheme="majorHAnsi"/>
          <w:sz w:val="24"/>
          <w:szCs w:val="24"/>
        </w:rPr>
      </w:pPr>
      <w:proofErr w:type="gramStart"/>
      <w:r w:rsidRPr="009E6DC5">
        <w:rPr>
          <w:rFonts w:asciiTheme="majorHAnsi" w:eastAsia="Arial Unicode MS" w:hAnsiTheme="majorHAnsi" w:cstheme="majorHAnsi" w:hint="eastAsia"/>
          <w:sz w:val="24"/>
          <w:szCs w:val="24"/>
        </w:rPr>
        <w:t>Fig.</w:t>
      </w:r>
      <w:proofErr w:type="gramEnd"/>
      <w:r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 A.</w:t>
      </w:r>
      <w:r w:rsidR="00BD730C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1. </w:t>
      </w:r>
      <w:r w:rsidR="00F13184" w:rsidRPr="009E6DC5">
        <w:rPr>
          <w:rFonts w:asciiTheme="majorHAnsi" w:eastAsia="Arial Unicode MS" w:hAnsiTheme="majorHAnsi" w:cstheme="majorHAnsi" w:hint="eastAsia"/>
          <w:sz w:val="24"/>
          <w:szCs w:val="24"/>
        </w:rPr>
        <w:t>MS/MS ch</w:t>
      </w:r>
      <w:r w:rsidR="008D7251" w:rsidRPr="009E6DC5">
        <w:rPr>
          <w:rFonts w:asciiTheme="majorHAnsi" w:eastAsia="Arial Unicode MS" w:hAnsiTheme="majorHAnsi" w:cstheme="majorHAnsi" w:hint="eastAsia"/>
          <w:sz w:val="24"/>
          <w:szCs w:val="24"/>
        </w:rPr>
        <w:t>romatogram</w:t>
      </w:r>
      <w:r w:rsidR="00B4716C" w:rsidRPr="009E6DC5">
        <w:rPr>
          <w:rFonts w:asciiTheme="majorHAnsi" w:eastAsia="Arial Unicode MS" w:hAnsiTheme="majorHAnsi" w:cstheme="majorHAnsi" w:hint="eastAsia"/>
          <w:sz w:val="24"/>
          <w:szCs w:val="24"/>
        </w:rPr>
        <w:t>s</w:t>
      </w:r>
      <w:r w:rsidR="008D7251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 of standard lutein</w:t>
      </w:r>
      <w:r w:rsidR="00B4716C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 </w:t>
      </w:r>
      <w:r w:rsidR="00037A80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(0.4 mg/L) </w:t>
      </w:r>
      <w:r w:rsidR="00B4716C" w:rsidRPr="009E6DC5">
        <w:rPr>
          <w:rFonts w:asciiTheme="majorHAnsi" w:eastAsia="Arial Unicode MS" w:hAnsiTheme="majorHAnsi" w:cstheme="majorHAnsi" w:hint="eastAsia"/>
          <w:sz w:val="24"/>
          <w:szCs w:val="24"/>
        </w:rPr>
        <w:t>at different column temperature setting</w:t>
      </w:r>
      <w:r w:rsidR="00A535CF" w:rsidRPr="009E6DC5">
        <w:rPr>
          <w:rFonts w:asciiTheme="majorHAnsi" w:eastAsia="Arial Unicode MS" w:hAnsiTheme="majorHAnsi" w:cstheme="majorHAnsi" w:hint="eastAsia"/>
          <w:sz w:val="24"/>
          <w:szCs w:val="24"/>
        </w:rPr>
        <w:t>s</w:t>
      </w:r>
      <w:r w:rsidR="00C709C1" w:rsidRPr="009E6DC5">
        <w:rPr>
          <w:rFonts w:asciiTheme="majorHAnsi" w:eastAsia="Arial Unicode MS" w:hAnsiTheme="majorHAnsi" w:cstheme="majorHAnsi" w:hint="eastAsia"/>
          <w:sz w:val="24"/>
          <w:szCs w:val="24"/>
        </w:rPr>
        <w:t>: (A) 60</w:t>
      </w:r>
      <w:r w:rsidR="00A535CF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 </w:t>
      </w:r>
      <w:r w:rsidR="00A535CF" w:rsidRPr="009E6DC5">
        <w:rPr>
          <w:rFonts w:asciiTheme="majorHAnsi" w:eastAsia="Arial Unicode MS" w:hAnsiTheme="majorHAnsi" w:cstheme="majorHAnsi"/>
          <w:sz w:val="24"/>
          <w:szCs w:val="24"/>
        </w:rPr>
        <w:t>°</w:t>
      </w:r>
      <w:r w:rsidR="00C709C1" w:rsidRPr="009E6DC5">
        <w:rPr>
          <w:rFonts w:asciiTheme="majorHAnsi" w:eastAsia="Arial Unicode MS" w:hAnsiTheme="majorHAnsi" w:cstheme="majorHAnsi"/>
          <w:sz w:val="24"/>
          <w:szCs w:val="24"/>
        </w:rPr>
        <w:t>C</w:t>
      </w:r>
      <w:r w:rsidR="00C709C1" w:rsidRPr="009E6DC5">
        <w:rPr>
          <w:rFonts w:asciiTheme="majorHAnsi" w:eastAsia="Arial Unicode MS" w:hAnsiTheme="majorHAnsi" w:cstheme="majorHAnsi" w:hint="eastAsia"/>
          <w:sz w:val="24"/>
          <w:szCs w:val="24"/>
        </w:rPr>
        <w:t>, (B) 30</w:t>
      </w:r>
      <w:r w:rsidR="00C709C1" w:rsidRPr="009E6DC5">
        <w:rPr>
          <w:rFonts w:asciiTheme="majorHAnsi" w:eastAsia="Arial Unicode MS" w:hAnsiTheme="majorHAnsi" w:cstheme="majorHAnsi" w:hint="eastAsia"/>
          <w:sz w:val="24"/>
          <w:szCs w:val="24"/>
        </w:rPr>
        <w:t>°</w:t>
      </w:r>
      <w:r w:rsidR="00C709C1" w:rsidRPr="009E6DC5">
        <w:rPr>
          <w:rFonts w:asciiTheme="majorHAnsi" w:eastAsia="Arial Unicode MS" w:hAnsiTheme="majorHAnsi" w:cstheme="majorHAnsi"/>
          <w:sz w:val="24"/>
          <w:szCs w:val="24"/>
        </w:rPr>
        <w:t>C</w:t>
      </w:r>
      <w:r w:rsidR="00C709C1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, </w:t>
      </w:r>
      <w:r w:rsidR="009E3467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and </w:t>
      </w:r>
      <w:r w:rsidR="00C709C1" w:rsidRPr="009E6DC5">
        <w:rPr>
          <w:rFonts w:asciiTheme="majorHAnsi" w:eastAsia="Arial Unicode MS" w:hAnsiTheme="majorHAnsi" w:cstheme="majorHAnsi" w:hint="eastAsia"/>
          <w:sz w:val="24"/>
          <w:szCs w:val="24"/>
        </w:rPr>
        <w:t>(C) 15</w:t>
      </w:r>
      <w:r w:rsidR="00C709C1" w:rsidRPr="009E6DC5">
        <w:rPr>
          <w:rFonts w:asciiTheme="majorHAnsi" w:eastAsia="Arial Unicode MS" w:hAnsiTheme="majorHAnsi" w:cstheme="majorHAnsi" w:hint="eastAsia"/>
          <w:sz w:val="24"/>
          <w:szCs w:val="24"/>
        </w:rPr>
        <w:t>°</w:t>
      </w:r>
      <w:r w:rsidR="00C709C1" w:rsidRPr="009E6DC5">
        <w:rPr>
          <w:rFonts w:asciiTheme="majorHAnsi" w:eastAsia="Arial Unicode MS" w:hAnsiTheme="majorHAnsi" w:cstheme="majorHAnsi"/>
          <w:sz w:val="24"/>
          <w:szCs w:val="24"/>
        </w:rPr>
        <w:t>C</w:t>
      </w:r>
      <w:r w:rsidR="009E3467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. </w:t>
      </w:r>
      <w:r w:rsidR="00B4716C" w:rsidRPr="009E6DC5">
        <w:rPr>
          <w:rFonts w:asciiTheme="majorHAnsi" w:eastAsia="Arial Unicode MS" w:hAnsiTheme="majorHAnsi" w:cstheme="majorHAnsi"/>
          <w:sz w:val="24"/>
          <w:szCs w:val="24"/>
        </w:rPr>
        <w:t>A</w:t>
      </w:r>
      <w:r w:rsidR="00B4716C" w:rsidRPr="009E6DC5">
        <w:rPr>
          <w:rFonts w:asciiTheme="majorHAnsi" w:eastAsia="Arial Unicode MS" w:hAnsiTheme="majorHAnsi" w:cstheme="majorHAnsi" w:hint="eastAsia"/>
          <w:sz w:val="24"/>
          <w:szCs w:val="24"/>
        </w:rPr>
        <w:t>ll-</w:t>
      </w:r>
      <w:r w:rsidR="00B4716C" w:rsidRPr="009E6DC5">
        <w:rPr>
          <w:rFonts w:asciiTheme="majorHAnsi" w:eastAsia="Arial Unicode MS" w:hAnsiTheme="majorHAnsi" w:cstheme="majorHAnsi" w:hint="eastAsia"/>
          <w:i/>
          <w:sz w:val="24"/>
          <w:szCs w:val="24"/>
        </w:rPr>
        <w:t>trans</w:t>
      </w:r>
      <w:r w:rsidR="009E3467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 lutein (1) and</w:t>
      </w:r>
      <w:r w:rsidR="00B4716C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 </w:t>
      </w:r>
      <w:r w:rsidR="00A535CF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an </w:t>
      </w:r>
      <w:r w:rsidR="00B4716C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unknown compound (putative </w:t>
      </w:r>
      <w:r w:rsidR="00981EC6" w:rsidRPr="009E6DC5">
        <w:rPr>
          <w:rFonts w:asciiTheme="majorHAnsi" w:eastAsia="Arial Unicode MS" w:hAnsiTheme="majorHAnsi" w:cstheme="majorHAnsi" w:hint="eastAsia"/>
          <w:sz w:val="24"/>
          <w:szCs w:val="24"/>
        </w:rPr>
        <w:t>geometrical isomer</w:t>
      </w:r>
      <w:r w:rsidR="009E3467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 of lutein) (2) are shown.</w:t>
      </w:r>
      <w:r w:rsidR="00B4716C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 </w:t>
      </w:r>
      <w:r w:rsidR="008D7251" w:rsidRPr="009E6DC5">
        <w:rPr>
          <w:rFonts w:asciiTheme="majorHAnsi" w:eastAsia="Arial Unicode MS" w:hAnsiTheme="majorHAnsi" w:cstheme="majorHAnsi" w:hint="eastAsia"/>
          <w:sz w:val="24"/>
          <w:szCs w:val="24"/>
        </w:rPr>
        <w:t>Arrow</w:t>
      </w:r>
      <w:r w:rsidR="007623D9" w:rsidRPr="009E6DC5">
        <w:rPr>
          <w:rFonts w:asciiTheme="majorHAnsi" w:eastAsia="Arial Unicode MS" w:hAnsiTheme="majorHAnsi" w:cstheme="majorHAnsi" w:hint="eastAsia"/>
          <w:sz w:val="24"/>
          <w:szCs w:val="24"/>
        </w:rPr>
        <w:t>s</w:t>
      </w:r>
      <w:r w:rsidR="008D7251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 indicate </w:t>
      </w:r>
      <w:r w:rsidR="00B4716C" w:rsidRPr="009E6DC5">
        <w:rPr>
          <w:rFonts w:asciiTheme="majorHAnsi" w:eastAsia="Arial Unicode MS" w:hAnsiTheme="majorHAnsi" w:cstheme="majorHAnsi"/>
          <w:sz w:val="24"/>
          <w:szCs w:val="24"/>
        </w:rPr>
        <w:t>the</w:t>
      </w:r>
      <w:r w:rsidR="00B4716C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 position of </w:t>
      </w:r>
      <w:r w:rsidR="00A535CF" w:rsidRPr="009E6DC5">
        <w:rPr>
          <w:rFonts w:asciiTheme="majorHAnsi" w:eastAsia="Arial Unicode MS" w:hAnsiTheme="majorHAnsi" w:cstheme="majorHAnsi"/>
          <w:sz w:val="24"/>
          <w:szCs w:val="24"/>
        </w:rPr>
        <w:t>the</w:t>
      </w:r>
      <w:r w:rsidR="00A535CF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 </w:t>
      </w:r>
      <w:r w:rsidR="00B4716C" w:rsidRPr="009E6DC5">
        <w:rPr>
          <w:rFonts w:asciiTheme="majorHAnsi" w:eastAsia="Arial Unicode MS" w:hAnsiTheme="majorHAnsi" w:cstheme="majorHAnsi" w:hint="eastAsia"/>
          <w:sz w:val="24"/>
          <w:szCs w:val="24"/>
        </w:rPr>
        <w:t>column temperature-</w:t>
      </w:r>
      <w:r w:rsidR="008D7251" w:rsidRPr="009E6DC5">
        <w:rPr>
          <w:rFonts w:asciiTheme="majorHAnsi" w:eastAsia="Arial Unicode MS" w:hAnsiTheme="majorHAnsi" w:cstheme="majorHAnsi" w:hint="eastAsia"/>
          <w:sz w:val="24"/>
          <w:szCs w:val="24"/>
        </w:rPr>
        <w:t>dependent unknown peak</w:t>
      </w:r>
      <w:r w:rsidR="00B4716C" w:rsidRPr="009E6DC5">
        <w:rPr>
          <w:rFonts w:asciiTheme="majorHAnsi" w:eastAsia="Arial Unicode MS" w:hAnsiTheme="majorHAnsi" w:cstheme="majorHAnsi" w:hint="eastAsia"/>
          <w:sz w:val="24"/>
          <w:szCs w:val="24"/>
        </w:rPr>
        <w:t>.</w:t>
      </w:r>
    </w:p>
    <w:p w:rsidR="00F13184" w:rsidRPr="004E0499" w:rsidRDefault="00F13184">
      <w:pPr>
        <w:widowControl/>
        <w:jc w:val="left"/>
        <w:rPr>
          <w:rFonts w:asciiTheme="majorHAnsi" w:eastAsia="Arial Unicode MS" w:hAnsiTheme="majorHAnsi" w:cstheme="majorHAnsi"/>
          <w:sz w:val="24"/>
          <w:szCs w:val="24"/>
        </w:rPr>
      </w:pPr>
      <w:r w:rsidRPr="004E0499">
        <w:rPr>
          <w:rFonts w:asciiTheme="majorHAnsi" w:eastAsia="Arial Unicode MS" w:hAnsiTheme="majorHAnsi" w:cstheme="majorHAnsi"/>
          <w:sz w:val="24"/>
          <w:szCs w:val="24"/>
        </w:rPr>
        <w:lastRenderedPageBreak/>
        <w:br w:type="page"/>
      </w:r>
    </w:p>
    <w:p w:rsidR="008D7251" w:rsidRPr="004E0499" w:rsidRDefault="008D7251">
      <w:pPr>
        <w:widowControl/>
        <w:jc w:val="left"/>
        <w:rPr>
          <w:rFonts w:asciiTheme="majorHAnsi" w:eastAsia="Arial Unicode MS" w:hAnsiTheme="majorHAnsi" w:cstheme="majorHAnsi"/>
          <w:sz w:val="24"/>
          <w:szCs w:val="24"/>
        </w:rPr>
      </w:pPr>
    </w:p>
    <w:p w:rsidR="00F13184" w:rsidRPr="004E0499" w:rsidRDefault="00EB0E66">
      <w:pPr>
        <w:widowControl/>
        <w:jc w:val="left"/>
        <w:rPr>
          <w:rFonts w:asciiTheme="majorHAnsi" w:eastAsia="Arial Unicode MS" w:hAnsiTheme="majorHAnsi" w:cstheme="majorHAnsi"/>
          <w:sz w:val="24"/>
          <w:szCs w:val="24"/>
        </w:rPr>
      </w:pPr>
      <w:r w:rsidRPr="004E0499">
        <w:rPr>
          <w:rFonts w:asciiTheme="majorHAnsi" w:eastAsia="Arial Unicode MS" w:hAnsiTheme="majorHAnsi" w:cstheme="majorHAnsi"/>
          <w:noProof/>
          <w:sz w:val="24"/>
          <w:szCs w:val="24"/>
        </w:rPr>
        <w:drawing>
          <wp:inline distT="0" distB="0" distL="0" distR="0" wp14:anchorId="48AE080D" wp14:editId="5777C20C">
            <wp:extent cx="3817083" cy="3510951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029" cy="352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84" w:rsidRPr="004E0499" w:rsidRDefault="007F0158" w:rsidP="004E0499">
      <w:pPr>
        <w:widowControl/>
        <w:spacing w:line="480" w:lineRule="auto"/>
        <w:ind w:rightChars="-5" w:right="-10"/>
        <w:jc w:val="left"/>
        <w:rPr>
          <w:rFonts w:asciiTheme="majorHAnsi" w:eastAsia="Arial Unicode MS" w:hAnsiTheme="majorHAnsi" w:cstheme="majorHAnsi"/>
          <w:sz w:val="24"/>
          <w:szCs w:val="24"/>
        </w:rPr>
      </w:pPr>
      <w:proofErr w:type="gramStart"/>
      <w:r w:rsidRPr="004E0499">
        <w:rPr>
          <w:rFonts w:asciiTheme="majorHAnsi" w:eastAsia="Arial Unicode MS" w:hAnsiTheme="majorHAnsi" w:cstheme="majorHAnsi"/>
          <w:sz w:val="24"/>
          <w:szCs w:val="24"/>
        </w:rPr>
        <w:t>Fig.</w:t>
      </w:r>
      <w:proofErr w:type="gramEnd"/>
      <w:r w:rsidRPr="004E0499">
        <w:rPr>
          <w:rFonts w:asciiTheme="majorHAnsi" w:eastAsia="Arial Unicode MS" w:hAnsiTheme="majorHAnsi" w:cstheme="majorHAnsi"/>
          <w:sz w:val="24"/>
          <w:szCs w:val="24"/>
        </w:rPr>
        <w:t xml:space="preserve"> A.</w:t>
      </w:r>
      <w:r w:rsidR="00F13184" w:rsidRPr="004E0499">
        <w:rPr>
          <w:rFonts w:asciiTheme="majorHAnsi" w:eastAsia="Arial Unicode MS" w:hAnsiTheme="majorHAnsi" w:cstheme="majorHAnsi"/>
          <w:sz w:val="24"/>
          <w:szCs w:val="24"/>
        </w:rPr>
        <w:t xml:space="preserve">2. </w:t>
      </w:r>
      <w:r w:rsidR="007F2A7D" w:rsidRPr="004E0499">
        <w:rPr>
          <w:rFonts w:asciiTheme="majorHAnsi" w:eastAsia="Arial Unicode MS" w:hAnsiTheme="majorHAnsi" w:cstheme="majorHAnsi"/>
          <w:sz w:val="24"/>
          <w:szCs w:val="24"/>
        </w:rPr>
        <w:t>C</w:t>
      </w:r>
      <w:r w:rsidR="00F13184" w:rsidRPr="004E0499">
        <w:rPr>
          <w:rFonts w:asciiTheme="majorHAnsi" w:eastAsia="Arial Unicode MS" w:hAnsiTheme="majorHAnsi" w:cstheme="majorHAnsi"/>
          <w:sz w:val="24"/>
          <w:szCs w:val="24"/>
        </w:rPr>
        <w:t>hromatograms of standard lutein</w:t>
      </w:r>
      <w:r w:rsidR="00C86112" w:rsidRPr="004E0499">
        <w:rPr>
          <w:rFonts w:asciiTheme="majorHAnsi" w:eastAsia="Arial Unicode MS" w:hAnsiTheme="majorHAnsi" w:cstheme="majorHAnsi"/>
          <w:sz w:val="24"/>
          <w:szCs w:val="24"/>
        </w:rPr>
        <w:t xml:space="preserve"> (5 mg/L)</w:t>
      </w:r>
      <w:r w:rsidR="00F13184" w:rsidRPr="004E0499">
        <w:rPr>
          <w:rFonts w:asciiTheme="majorHAnsi" w:eastAsia="Arial Unicode MS" w:hAnsiTheme="majorHAnsi" w:cstheme="majorHAnsi"/>
          <w:sz w:val="24"/>
          <w:szCs w:val="24"/>
        </w:rPr>
        <w:t xml:space="preserve"> at </w:t>
      </w:r>
      <w:r w:rsidR="00A535CF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a </w:t>
      </w:r>
      <w:r w:rsidR="00F13184" w:rsidRPr="009E6DC5">
        <w:rPr>
          <w:rFonts w:asciiTheme="majorHAnsi" w:eastAsia="Arial Unicode MS" w:hAnsiTheme="majorHAnsi" w:cstheme="majorHAnsi"/>
          <w:sz w:val="24"/>
          <w:szCs w:val="24"/>
        </w:rPr>
        <w:t xml:space="preserve">column temperature </w:t>
      </w:r>
      <w:r w:rsidR="00B543EF" w:rsidRPr="009E6DC5">
        <w:rPr>
          <w:rFonts w:asciiTheme="majorHAnsi" w:eastAsia="Arial Unicode MS" w:hAnsiTheme="majorHAnsi" w:cstheme="majorHAnsi"/>
          <w:sz w:val="24"/>
          <w:szCs w:val="24"/>
        </w:rPr>
        <w:t xml:space="preserve">at </w:t>
      </w:r>
      <w:r w:rsidR="007F2A7D" w:rsidRPr="009E6DC5">
        <w:rPr>
          <w:rFonts w:asciiTheme="majorHAnsi" w:eastAsia="Arial Unicode MS" w:hAnsiTheme="majorHAnsi" w:cstheme="majorHAnsi"/>
          <w:sz w:val="24"/>
          <w:szCs w:val="24"/>
        </w:rPr>
        <w:t>60</w:t>
      </w:r>
      <w:r w:rsidR="00A535CF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 </w:t>
      </w:r>
      <w:r w:rsidR="009E6DC5" w:rsidRPr="009E6DC5">
        <w:rPr>
          <w:rFonts w:asciiTheme="majorHAnsi" w:eastAsia="Arial Unicode MS" w:hAnsiTheme="majorHAnsi" w:cstheme="majorHAnsi"/>
          <w:sz w:val="24"/>
          <w:szCs w:val="24"/>
        </w:rPr>
        <w:t>°C</w:t>
      </w:r>
      <w:r w:rsidR="00B543EF" w:rsidRPr="009E6DC5">
        <w:rPr>
          <w:rFonts w:asciiTheme="majorHAnsi" w:eastAsia="Arial Unicode MS" w:hAnsiTheme="majorHAnsi" w:cstheme="majorHAnsi"/>
          <w:sz w:val="24"/>
          <w:szCs w:val="24"/>
        </w:rPr>
        <w:t xml:space="preserve">. </w:t>
      </w:r>
      <w:r w:rsidR="00C86112" w:rsidRPr="009E6DC5">
        <w:rPr>
          <w:rFonts w:asciiTheme="majorHAnsi" w:eastAsia="Arial Unicode MS" w:hAnsiTheme="majorHAnsi" w:cstheme="majorHAnsi"/>
          <w:sz w:val="24"/>
          <w:szCs w:val="24"/>
        </w:rPr>
        <w:t xml:space="preserve">The </w:t>
      </w:r>
      <w:r w:rsidR="00B543EF" w:rsidRPr="009E6DC5">
        <w:rPr>
          <w:rFonts w:asciiTheme="majorHAnsi" w:eastAsia="Arial Unicode MS" w:hAnsiTheme="majorHAnsi" w:cstheme="majorHAnsi"/>
          <w:sz w:val="24"/>
          <w:szCs w:val="24"/>
        </w:rPr>
        <w:t>MS/MS chroma</w:t>
      </w:r>
      <w:r w:rsidR="00C86112" w:rsidRPr="009E6DC5">
        <w:rPr>
          <w:rFonts w:asciiTheme="majorHAnsi" w:eastAsia="Arial Unicode MS" w:hAnsiTheme="majorHAnsi" w:cstheme="majorHAnsi"/>
          <w:sz w:val="24"/>
          <w:szCs w:val="24"/>
        </w:rPr>
        <w:t>togram (A) and UV chromatogram (B) of a</w:t>
      </w:r>
      <w:r w:rsidR="00F13184" w:rsidRPr="009E6DC5">
        <w:rPr>
          <w:rFonts w:asciiTheme="majorHAnsi" w:eastAsia="Arial Unicode MS" w:hAnsiTheme="majorHAnsi" w:cstheme="majorHAnsi"/>
          <w:sz w:val="24"/>
          <w:szCs w:val="24"/>
        </w:rPr>
        <w:t>ll-</w:t>
      </w:r>
      <w:r w:rsidR="00F13184" w:rsidRPr="009E6DC5">
        <w:rPr>
          <w:rFonts w:asciiTheme="majorHAnsi" w:eastAsia="Arial Unicode MS" w:hAnsiTheme="majorHAnsi" w:cstheme="majorHAnsi"/>
          <w:i/>
          <w:sz w:val="24"/>
          <w:szCs w:val="24"/>
        </w:rPr>
        <w:t>trans</w:t>
      </w:r>
      <w:r w:rsidR="00C86112" w:rsidRPr="009E6DC5">
        <w:rPr>
          <w:rFonts w:asciiTheme="majorHAnsi" w:eastAsia="Arial Unicode MS" w:hAnsiTheme="majorHAnsi" w:cstheme="majorHAnsi"/>
          <w:sz w:val="24"/>
          <w:szCs w:val="24"/>
        </w:rPr>
        <w:t xml:space="preserve"> lutein (1) and</w:t>
      </w:r>
      <w:r w:rsidR="00A535CF" w:rsidRPr="009E6DC5">
        <w:rPr>
          <w:rFonts w:asciiTheme="majorHAnsi" w:eastAsia="Arial Unicode MS" w:hAnsiTheme="majorHAnsi" w:cstheme="majorHAnsi" w:hint="eastAsia"/>
          <w:sz w:val="24"/>
          <w:szCs w:val="24"/>
        </w:rPr>
        <w:t xml:space="preserve"> an</w:t>
      </w:r>
      <w:r w:rsidR="00F13184" w:rsidRPr="009E6DC5">
        <w:rPr>
          <w:rFonts w:asciiTheme="majorHAnsi" w:eastAsia="Arial Unicode MS" w:hAnsiTheme="majorHAnsi" w:cstheme="majorHAnsi"/>
          <w:sz w:val="24"/>
          <w:szCs w:val="24"/>
        </w:rPr>
        <w:t xml:space="preserve"> unknown </w:t>
      </w:r>
      <w:r w:rsidR="00F13184" w:rsidRPr="004E0499">
        <w:rPr>
          <w:rFonts w:asciiTheme="majorHAnsi" w:eastAsia="Arial Unicode MS" w:hAnsiTheme="majorHAnsi" w:cstheme="majorHAnsi"/>
          <w:sz w:val="24"/>
          <w:szCs w:val="24"/>
        </w:rPr>
        <w:t>compound (putative ge</w:t>
      </w:r>
      <w:r w:rsidR="00C86112" w:rsidRPr="004E0499">
        <w:rPr>
          <w:rFonts w:asciiTheme="majorHAnsi" w:eastAsia="Arial Unicode MS" w:hAnsiTheme="majorHAnsi" w:cstheme="majorHAnsi"/>
          <w:sz w:val="24"/>
          <w:szCs w:val="24"/>
        </w:rPr>
        <w:t>omet</w:t>
      </w:r>
      <w:r w:rsidR="007623D9" w:rsidRPr="004E0499">
        <w:rPr>
          <w:rFonts w:asciiTheme="majorHAnsi" w:eastAsia="Arial Unicode MS" w:hAnsiTheme="majorHAnsi" w:cstheme="majorHAnsi"/>
          <w:sz w:val="24"/>
          <w:szCs w:val="24"/>
        </w:rPr>
        <w:t>rical isomer of lutein) (2) are</w:t>
      </w:r>
      <w:r w:rsidR="00C86112" w:rsidRPr="004E0499">
        <w:rPr>
          <w:rFonts w:asciiTheme="majorHAnsi" w:eastAsia="Arial Unicode MS" w:hAnsiTheme="majorHAnsi" w:cstheme="majorHAnsi"/>
          <w:sz w:val="24"/>
          <w:szCs w:val="24"/>
        </w:rPr>
        <w:t xml:space="preserve"> shown, respectively.</w:t>
      </w:r>
      <w:r w:rsidR="00F13184" w:rsidRPr="004E0499">
        <w:rPr>
          <w:rFonts w:asciiTheme="majorHAnsi" w:eastAsia="Arial Unicode MS" w:hAnsiTheme="majorHAnsi" w:cstheme="majorHAnsi"/>
          <w:sz w:val="24"/>
          <w:szCs w:val="24"/>
        </w:rPr>
        <w:t xml:space="preserve"> Arrow</w:t>
      </w:r>
      <w:r w:rsidR="007623D9" w:rsidRPr="004E0499">
        <w:rPr>
          <w:rFonts w:asciiTheme="majorHAnsi" w:eastAsia="Arial Unicode MS" w:hAnsiTheme="majorHAnsi" w:cstheme="majorHAnsi"/>
          <w:sz w:val="24"/>
          <w:szCs w:val="24"/>
        </w:rPr>
        <w:t>s</w:t>
      </w:r>
      <w:r w:rsidR="00F13184" w:rsidRPr="004E0499">
        <w:rPr>
          <w:rFonts w:asciiTheme="majorHAnsi" w:eastAsia="Arial Unicode MS" w:hAnsiTheme="majorHAnsi" w:cstheme="majorHAnsi"/>
          <w:sz w:val="24"/>
          <w:szCs w:val="24"/>
        </w:rPr>
        <w:t xml:space="preserve"> indicate </w:t>
      </w:r>
      <w:r w:rsidR="007F2A7D" w:rsidRPr="004E0499">
        <w:rPr>
          <w:rFonts w:asciiTheme="majorHAnsi" w:eastAsia="Arial Unicode MS" w:hAnsiTheme="majorHAnsi" w:cstheme="majorHAnsi"/>
          <w:sz w:val="24"/>
          <w:szCs w:val="24"/>
        </w:rPr>
        <w:t>each absorbance spectrum of</w:t>
      </w:r>
      <w:r w:rsidR="00F13184" w:rsidRPr="004E0499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C86112" w:rsidRPr="004E0499">
        <w:rPr>
          <w:rFonts w:asciiTheme="majorHAnsi" w:eastAsia="Arial Unicode MS" w:hAnsiTheme="majorHAnsi" w:cstheme="majorHAnsi"/>
          <w:sz w:val="24"/>
          <w:szCs w:val="24"/>
        </w:rPr>
        <w:t xml:space="preserve">the </w:t>
      </w:r>
      <w:r w:rsidR="007F2A7D" w:rsidRPr="004E0499">
        <w:rPr>
          <w:rFonts w:asciiTheme="majorHAnsi" w:eastAsia="Arial Unicode MS" w:hAnsiTheme="majorHAnsi" w:cstheme="majorHAnsi"/>
          <w:sz w:val="24"/>
          <w:szCs w:val="24"/>
        </w:rPr>
        <w:t>corresponding</w:t>
      </w:r>
      <w:r w:rsidR="00F13184" w:rsidRPr="004E0499">
        <w:rPr>
          <w:rFonts w:asciiTheme="majorHAnsi" w:eastAsia="Arial Unicode MS" w:hAnsiTheme="majorHAnsi" w:cstheme="majorHAnsi"/>
          <w:sz w:val="24"/>
          <w:szCs w:val="24"/>
        </w:rPr>
        <w:t xml:space="preserve"> peak</w:t>
      </w:r>
      <w:r w:rsidR="007F2A7D" w:rsidRPr="004E0499">
        <w:rPr>
          <w:rFonts w:asciiTheme="majorHAnsi" w:eastAsia="Arial Unicode MS" w:hAnsiTheme="majorHAnsi" w:cstheme="majorHAnsi"/>
          <w:sz w:val="24"/>
          <w:szCs w:val="24"/>
        </w:rPr>
        <w:t>s in the range from 250 to 800 nm, respectively</w:t>
      </w:r>
      <w:r w:rsidR="00F13184" w:rsidRPr="004E0499">
        <w:rPr>
          <w:rFonts w:asciiTheme="majorHAnsi" w:eastAsia="Arial Unicode MS" w:hAnsiTheme="majorHAnsi" w:cstheme="majorHAnsi"/>
          <w:sz w:val="24"/>
          <w:szCs w:val="24"/>
        </w:rPr>
        <w:t>.</w:t>
      </w:r>
    </w:p>
    <w:p w:rsidR="00F13184" w:rsidRPr="004E0499" w:rsidRDefault="00F13184">
      <w:pPr>
        <w:widowControl/>
        <w:jc w:val="left"/>
        <w:rPr>
          <w:rFonts w:asciiTheme="majorHAnsi" w:eastAsia="Arial Unicode MS" w:hAnsiTheme="majorHAnsi" w:cstheme="majorHAnsi"/>
          <w:sz w:val="24"/>
          <w:szCs w:val="24"/>
        </w:rPr>
      </w:pPr>
    </w:p>
    <w:p w:rsidR="00BD730C" w:rsidRPr="004E0499" w:rsidRDefault="00BD730C">
      <w:pPr>
        <w:widowControl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4E0499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C21BAA" w:rsidRPr="004D1971" w:rsidRDefault="00C21BAA" w:rsidP="00C21BAA">
      <w:pPr>
        <w:widowControl/>
        <w:ind w:rightChars="-950" w:right="-1995"/>
        <w:jc w:val="left"/>
        <w:rPr>
          <w:rFonts w:asciiTheme="majorHAnsi" w:eastAsia="Arial Unicode MS" w:hAnsiTheme="majorHAnsi" w:cstheme="majorHAnsi"/>
          <w:sz w:val="24"/>
          <w:szCs w:val="24"/>
        </w:rPr>
      </w:pPr>
      <w:r w:rsidRPr="004D1971">
        <w:rPr>
          <w:rFonts w:asciiTheme="majorHAnsi" w:eastAsia="Arial Unicode MS" w:hAnsiTheme="majorHAnsi" w:cstheme="majorHAnsi"/>
          <w:sz w:val="24"/>
          <w:szCs w:val="24"/>
        </w:rPr>
        <w:t xml:space="preserve">Table A.1. Precursor and product ion </w:t>
      </w:r>
      <w:r w:rsidRPr="004D1971">
        <w:rPr>
          <w:rFonts w:asciiTheme="majorHAnsi" w:eastAsia="Arial Unicode MS" w:hAnsiTheme="majorHAnsi" w:cstheme="majorHAnsi"/>
          <w:i/>
          <w:sz w:val="24"/>
          <w:szCs w:val="24"/>
        </w:rPr>
        <w:t>m/z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>-values for MS/MS analysis used in the study</w:t>
      </w:r>
    </w:p>
    <w:tbl>
      <w:tblPr>
        <w:tblW w:w="10110" w:type="dxa"/>
        <w:tblLook w:val="0000" w:firstRow="0" w:lastRow="0" w:firstColumn="0" w:lastColumn="0" w:noHBand="0" w:noVBand="0"/>
      </w:tblPr>
      <w:tblGrid>
        <w:gridCol w:w="1780"/>
        <w:gridCol w:w="2619"/>
        <w:gridCol w:w="2376"/>
        <w:gridCol w:w="3335"/>
      </w:tblGrid>
      <w:tr w:rsidR="00C21BAA" w:rsidRPr="00B3262E" w:rsidTr="004D1971">
        <w:trPr>
          <w:trHeight w:val="330"/>
        </w:trPr>
        <w:tc>
          <w:tcPr>
            <w:tcW w:w="17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proofErr w:type="spellStart"/>
            <w:r w:rsidRPr="004D1971">
              <w:rPr>
                <w:rFonts w:asciiTheme="majorHAnsi" w:eastAsia="Arial Unicode MS" w:hAnsiTheme="majorHAnsi" w:cstheme="majorHAnsi"/>
                <w:iCs/>
                <w:sz w:val="24"/>
                <w:szCs w:val="24"/>
              </w:rPr>
              <w:t>Analyte</w:t>
            </w:r>
            <w:proofErr w:type="spellEnd"/>
          </w:p>
        </w:tc>
        <w:tc>
          <w:tcPr>
            <w:tcW w:w="2619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Precursor ion (</w:t>
            </w:r>
            <w:r w:rsidRPr="004D1971">
              <w:rPr>
                <w:rFonts w:asciiTheme="majorHAnsi" w:eastAsia="Arial Unicode MS" w:hAnsiTheme="majorHAnsi" w:cstheme="majorHAnsi"/>
                <w:i/>
                <w:sz w:val="24"/>
                <w:szCs w:val="24"/>
              </w:rPr>
              <w:t>m/z</w:t>
            </w: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Product ion (</w:t>
            </w:r>
            <w:r w:rsidRPr="004D1971">
              <w:rPr>
                <w:rFonts w:asciiTheme="majorHAnsi" w:eastAsia="Arial Unicode MS" w:hAnsiTheme="majorHAnsi" w:cstheme="majorHAnsi"/>
                <w:i/>
                <w:sz w:val="24"/>
                <w:szCs w:val="24"/>
              </w:rPr>
              <w:t>m/z</w:t>
            </w: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3335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Description</w:t>
            </w:r>
          </w:p>
        </w:tc>
      </w:tr>
      <w:tr w:rsidR="00C21BAA" w:rsidRPr="00B3262E" w:rsidTr="004D1971">
        <w:trPr>
          <w:trHeight w:val="302"/>
        </w:trPr>
        <w:tc>
          <w:tcPr>
            <w:tcW w:w="1780" w:type="dxa"/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Lutein</w:t>
            </w:r>
          </w:p>
        </w:tc>
        <w:tc>
          <w:tcPr>
            <w:tcW w:w="2619" w:type="dxa"/>
            <w:tcBorders>
              <w:left w:val="single" w:sz="4" w:space="0" w:color="FFFFFF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551.468</w:t>
            </w:r>
          </w:p>
        </w:tc>
        <w:tc>
          <w:tcPr>
            <w:tcW w:w="2376" w:type="dxa"/>
            <w:tcBorders>
              <w:lef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105.023</w:t>
            </w:r>
          </w:p>
        </w:tc>
        <w:tc>
          <w:tcPr>
            <w:tcW w:w="3335" w:type="dxa"/>
            <w:tcBorders>
              <w:lef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[M-H</w:t>
            </w: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  <w:vertAlign w:val="subscript"/>
              </w:rPr>
              <w:t>2</w:t>
            </w: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O+H]</w:t>
            </w: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  <w:vertAlign w:val="superscript"/>
              </w:rPr>
              <w:t>+</w:t>
            </w: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, quantitative ion</w:t>
            </w:r>
          </w:p>
        </w:tc>
      </w:tr>
      <w:tr w:rsidR="00C21BAA" w:rsidRPr="00B3262E" w:rsidTr="004D1971">
        <w:trPr>
          <w:trHeight w:val="320"/>
        </w:trPr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Lutein</w:t>
            </w:r>
          </w:p>
        </w:tc>
        <w:tc>
          <w:tcPr>
            <w:tcW w:w="2619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568.468</w:t>
            </w:r>
          </w:p>
        </w:tc>
        <w:tc>
          <w:tcPr>
            <w:tcW w:w="2376" w:type="dxa"/>
            <w:tcBorders>
              <w:left w:val="single" w:sz="4" w:space="0" w:color="FFFFFF"/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105.023</w:t>
            </w:r>
          </w:p>
        </w:tc>
        <w:tc>
          <w:tcPr>
            <w:tcW w:w="3335" w:type="dxa"/>
            <w:tcBorders>
              <w:left w:val="single" w:sz="4" w:space="0" w:color="FFFFFF"/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[M+], confirmation ion</w:t>
            </w:r>
          </w:p>
        </w:tc>
      </w:tr>
    </w:tbl>
    <w:p w:rsidR="00C21BAA" w:rsidRPr="004D1971" w:rsidRDefault="00C21BAA" w:rsidP="00C21BAA">
      <w:pPr>
        <w:widowControl/>
        <w:jc w:val="left"/>
        <w:rPr>
          <w:rFonts w:asciiTheme="majorHAnsi" w:eastAsia="Arial Unicode MS" w:hAnsiTheme="majorHAnsi" w:cstheme="majorHAnsi"/>
          <w:sz w:val="24"/>
          <w:szCs w:val="24"/>
        </w:rPr>
      </w:pPr>
    </w:p>
    <w:p w:rsidR="00C21BAA" w:rsidRPr="004D1971" w:rsidRDefault="00C21BAA" w:rsidP="00C21BAA">
      <w:pPr>
        <w:snapToGrid w:val="0"/>
        <w:spacing w:line="240" w:lineRule="atLeast"/>
        <w:ind w:rightChars="61" w:right="128"/>
        <w:rPr>
          <w:rFonts w:asciiTheme="majorHAnsi" w:eastAsia="Arial Unicode MS" w:hAnsiTheme="majorHAnsi" w:cstheme="majorHAnsi"/>
          <w:sz w:val="24"/>
          <w:szCs w:val="24"/>
        </w:rPr>
      </w:pPr>
      <w:r w:rsidRPr="004D1971">
        <w:rPr>
          <w:rFonts w:asciiTheme="majorHAnsi" w:eastAsia="Arial Unicode MS" w:hAnsiTheme="majorHAnsi" w:cstheme="majorHAnsi"/>
          <w:sz w:val="24"/>
          <w:szCs w:val="24"/>
        </w:rPr>
        <w:t>Table A.2. Comparison of quantitative data obtained from MS/MS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>detection and in</w:t>
      </w:r>
      <w:r>
        <w:rPr>
          <w:rFonts w:asciiTheme="majorHAnsi" w:eastAsia="Arial Unicode MS" w:hAnsiTheme="majorHAnsi" w:cstheme="majorHAnsi"/>
          <w:sz w:val="24"/>
          <w:szCs w:val="24"/>
        </w:rPr>
        <w:t>-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>line UV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>detection (</w:t>
      </w:r>
      <w:r w:rsidRPr="004D1971">
        <w:rPr>
          <w:rFonts w:asciiTheme="majorHAnsi" w:eastAsia="Arial Unicode MS" w:hAnsiTheme="majorHAnsi" w:cstheme="majorHAnsi"/>
          <w:i/>
          <w:sz w:val="24"/>
          <w:szCs w:val="24"/>
        </w:rPr>
        <w:t>n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 xml:space="preserve"> = 5)</w:t>
      </w:r>
    </w:p>
    <w:tbl>
      <w:tblPr>
        <w:tblW w:w="10119" w:type="dxa"/>
        <w:tblLook w:val="0000" w:firstRow="0" w:lastRow="0" w:firstColumn="0" w:lastColumn="0" w:noHBand="0" w:noVBand="0"/>
      </w:tblPr>
      <w:tblGrid>
        <w:gridCol w:w="1964"/>
        <w:gridCol w:w="2042"/>
        <w:gridCol w:w="2198"/>
        <w:gridCol w:w="1701"/>
        <w:gridCol w:w="2214"/>
      </w:tblGrid>
      <w:tr w:rsidR="00C21BAA" w:rsidRPr="00B3262E" w:rsidTr="004D1971">
        <w:trPr>
          <w:trHeight w:val="306"/>
        </w:trPr>
        <w:tc>
          <w:tcPr>
            <w:tcW w:w="196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proofErr w:type="spellStart"/>
            <w:r w:rsidRPr="004D1971">
              <w:rPr>
                <w:rFonts w:asciiTheme="majorHAnsi" w:eastAsia="Arial Unicode MS" w:hAnsiTheme="majorHAnsi" w:cstheme="majorHAnsi"/>
                <w:iCs/>
                <w:sz w:val="24"/>
                <w:szCs w:val="24"/>
              </w:rPr>
              <w:t>Analyte</w:t>
            </w:r>
            <w:proofErr w:type="spellEnd"/>
          </w:p>
        </w:tc>
        <w:tc>
          <w:tcPr>
            <w:tcW w:w="2042" w:type="dxa"/>
            <w:tcBorders>
              <w:top w:val="single" w:sz="12" w:space="0" w:color="000000"/>
              <w:bottom w:val="single" w:sz="6" w:space="0" w:color="000000"/>
              <w:right w:val="single" w:sz="4" w:space="0" w:color="FFFFFF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Detection technique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Mean (mg 100 g</w:t>
            </w: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  <w:vertAlign w:val="superscript"/>
              </w:rPr>
              <w:t>-1</w:t>
            </w: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RSD (%)</w:t>
            </w:r>
          </w:p>
        </w:tc>
        <w:tc>
          <w:tcPr>
            <w:tcW w:w="2214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i/>
                <w:sz w:val="24"/>
                <w:szCs w:val="24"/>
              </w:rPr>
              <w:t>p</w:t>
            </w: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value</w:t>
            </w:r>
            <w:r w:rsidRPr="004D1971">
              <w:rPr>
                <w:rFonts w:asciiTheme="majorHAnsi" w:eastAsia="Arial Unicode MS" w:hAnsiTheme="majorHAnsi" w:cstheme="majorHAnsi"/>
                <w:i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C21BAA" w:rsidRPr="00B3262E" w:rsidTr="004D1971">
        <w:trPr>
          <w:trHeight w:val="281"/>
        </w:trPr>
        <w:tc>
          <w:tcPr>
            <w:tcW w:w="1964" w:type="dxa"/>
            <w:vMerge w:val="restart"/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Lutein (sample</w:t>
            </w:r>
            <w:r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#1)</w:t>
            </w:r>
          </w:p>
        </w:tc>
        <w:tc>
          <w:tcPr>
            <w:tcW w:w="2042" w:type="dxa"/>
            <w:tcBorders>
              <w:righ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MS/MS</w:t>
            </w:r>
          </w:p>
        </w:tc>
        <w:tc>
          <w:tcPr>
            <w:tcW w:w="2198" w:type="dxa"/>
            <w:tcBorders>
              <w:left w:val="single" w:sz="4" w:space="0" w:color="FFFFFF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8.98</w:t>
            </w:r>
          </w:p>
        </w:tc>
        <w:tc>
          <w:tcPr>
            <w:tcW w:w="1701" w:type="dxa"/>
            <w:tcBorders>
              <w:lef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5.07</w:t>
            </w:r>
          </w:p>
        </w:tc>
        <w:tc>
          <w:tcPr>
            <w:tcW w:w="2214" w:type="dxa"/>
            <w:vMerge w:val="restart"/>
            <w:tcBorders>
              <w:left w:val="single" w:sz="4" w:space="0" w:color="FFFFFF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0.52</w:t>
            </w:r>
          </w:p>
        </w:tc>
      </w:tr>
      <w:tr w:rsidR="00C21BAA" w:rsidRPr="00B3262E" w:rsidTr="004D1971">
        <w:trPr>
          <w:trHeight w:val="297"/>
        </w:trPr>
        <w:tc>
          <w:tcPr>
            <w:tcW w:w="1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  <w:righ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UV</w:t>
            </w:r>
          </w:p>
        </w:tc>
        <w:tc>
          <w:tcPr>
            <w:tcW w:w="2198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8.75</w:t>
            </w:r>
          </w:p>
        </w:tc>
        <w:tc>
          <w:tcPr>
            <w:tcW w:w="1701" w:type="dxa"/>
            <w:tcBorders>
              <w:left w:val="single" w:sz="4" w:space="0" w:color="FFFFFF"/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4D1971">
              <w:rPr>
                <w:rFonts w:asciiTheme="majorHAnsi" w:eastAsia="Arial Unicode MS" w:hAnsiTheme="majorHAnsi" w:cstheme="majorHAnsi"/>
                <w:sz w:val="24"/>
                <w:szCs w:val="24"/>
              </w:rPr>
              <w:t>8.68</w:t>
            </w:r>
          </w:p>
        </w:tc>
        <w:tc>
          <w:tcPr>
            <w:tcW w:w="2214" w:type="dxa"/>
            <w:vMerge/>
            <w:tcBorders>
              <w:left w:val="single" w:sz="4" w:space="0" w:color="FFFFFF"/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</w:p>
        </w:tc>
      </w:tr>
    </w:tbl>
    <w:p w:rsidR="00C21BAA" w:rsidRPr="004D1971" w:rsidRDefault="00C21BAA" w:rsidP="00C21BAA">
      <w:pPr>
        <w:ind w:rightChars="-1692" w:right="-3553"/>
        <w:rPr>
          <w:rFonts w:asciiTheme="majorHAnsi" w:eastAsia="Arial Unicode MS" w:hAnsiTheme="majorHAnsi" w:cstheme="majorHAnsi"/>
          <w:sz w:val="24"/>
          <w:szCs w:val="24"/>
        </w:rPr>
      </w:pPr>
      <w:proofErr w:type="spellStart"/>
      <w:proofErr w:type="gramStart"/>
      <w:r w:rsidRPr="004D1971">
        <w:rPr>
          <w:rFonts w:asciiTheme="majorHAnsi" w:eastAsia="Arial Unicode MS" w:hAnsiTheme="majorHAnsi" w:cstheme="majorHAnsi"/>
          <w:i/>
          <w:sz w:val="24"/>
          <w:szCs w:val="24"/>
          <w:vertAlign w:val="superscript"/>
        </w:rPr>
        <w:t>a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>Student’s</w:t>
      </w:r>
      <w:proofErr w:type="spellEnd"/>
      <w:proofErr w:type="gramEnd"/>
      <w:r w:rsidRPr="004D1971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4D1971">
        <w:rPr>
          <w:rFonts w:asciiTheme="majorHAnsi" w:eastAsia="Arial Unicode MS" w:hAnsiTheme="majorHAnsi" w:cstheme="majorHAnsi"/>
          <w:i/>
          <w:sz w:val="24"/>
          <w:szCs w:val="24"/>
        </w:rPr>
        <w:t>t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>-test between MS/MS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>detection and UV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>detection</w:t>
      </w:r>
    </w:p>
    <w:p w:rsidR="00C21BAA" w:rsidRPr="004D1971" w:rsidRDefault="00C21BAA" w:rsidP="00C21BAA">
      <w:pPr>
        <w:widowControl/>
        <w:jc w:val="left"/>
        <w:rPr>
          <w:rFonts w:asciiTheme="majorHAnsi" w:eastAsia="Arial Unicode MS" w:hAnsiTheme="majorHAnsi" w:cstheme="majorHAnsi"/>
          <w:sz w:val="24"/>
          <w:szCs w:val="24"/>
        </w:rPr>
      </w:pPr>
    </w:p>
    <w:p w:rsidR="00822FED" w:rsidRPr="00C21BAA" w:rsidRDefault="00822FED">
      <w:pPr>
        <w:widowControl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:rsidR="00703006" w:rsidRPr="004E0499" w:rsidRDefault="00703006">
      <w:pPr>
        <w:widowControl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4E0499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C21BAA" w:rsidRPr="004D1971" w:rsidRDefault="00C21BAA" w:rsidP="00C21BAA">
      <w:pPr>
        <w:snapToGrid w:val="0"/>
        <w:spacing w:line="240" w:lineRule="atLeast"/>
        <w:ind w:rightChars="-1754" w:right="-3683"/>
        <w:rPr>
          <w:rFonts w:asciiTheme="majorHAnsi" w:eastAsia="Arial Unicode MS" w:hAnsiTheme="majorHAnsi" w:cstheme="majorHAnsi"/>
          <w:sz w:val="24"/>
          <w:szCs w:val="24"/>
        </w:rPr>
      </w:pPr>
      <w:proofErr w:type="gramStart"/>
      <w:r w:rsidRPr="004D1971">
        <w:rPr>
          <w:rFonts w:asciiTheme="majorHAnsi" w:eastAsia="Arial Unicode MS" w:hAnsiTheme="majorHAnsi" w:cstheme="majorHAnsi"/>
          <w:sz w:val="24"/>
          <w:szCs w:val="24"/>
        </w:rPr>
        <w:t>able</w:t>
      </w:r>
      <w:proofErr w:type="gramEnd"/>
      <w:r w:rsidRPr="004D1971">
        <w:rPr>
          <w:rFonts w:asciiTheme="majorHAnsi" w:eastAsia="Arial Unicode MS" w:hAnsiTheme="majorHAnsi" w:cstheme="majorHAnsi"/>
          <w:sz w:val="24"/>
          <w:szCs w:val="24"/>
        </w:rPr>
        <w:t xml:space="preserve"> A.3. Instruments and gradients used for the inter-laborator</w:t>
      </w:r>
      <w:r>
        <w:rPr>
          <w:rFonts w:asciiTheme="majorHAnsi" w:eastAsia="Arial Unicode MS" w:hAnsiTheme="majorHAnsi" w:cstheme="majorHAnsi"/>
          <w:sz w:val="24"/>
          <w:szCs w:val="24"/>
        </w:rPr>
        <w:t>y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 xml:space="preserve"> study</w:t>
      </w:r>
    </w:p>
    <w:tbl>
      <w:tblPr>
        <w:tblW w:w="10534" w:type="dxa"/>
        <w:tblLook w:val="0000" w:firstRow="0" w:lastRow="0" w:firstColumn="0" w:lastColumn="0" w:noHBand="0" w:noVBand="0"/>
      </w:tblPr>
      <w:tblGrid>
        <w:gridCol w:w="827"/>
        <w:gridCol w:w="3082"/>
        <w:gridCol w:w="2420"/>
        <w:gridCol w:w="2568"/>
        <w:gridCol w:w="1637"/>
      </w:tblGrid>
      <w:tr w:rsidR="00C21BAA" w:rsidRPr="00B3262E" w:rsidTr="004D1971">
        <w:trPr>
          <w:trHeight w:val="294"/>
        </w:trPr>
        <w:tc>
          <w:tcPr>
            <w:tcW w:w="82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4D1971">
              <w:rPr>
                <w:rFonts w:asciiTheme="majorHAnsi" w:eastAsia="Arial Unicode MS" w:hAnsiTheme="majorHAnsi" w:cstheme="majorHAnsi"/>
                <w:iCs/>
                <w:sz w:val="18"/>
                <w:szCs w:val="18"/>
              </w:rPr>
              <w:t>Lab no.</w:t>
            </w:r>
          </w:p>
        </w:tc>
        <w:tc>
          <w:tcPr>
            <w:tcW w:w="3082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LC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MS/MS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Column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proofErr w:type="spellStart"/>
            <w:r w:rsidRPr="004D1971">
              <w:rPr>
                <w:rFonts w:asciiTheme="majorHAnsi" w:eastAsia="Arial Unicode MS" w:hAnsiTheme="majorHAnsi" w:cstheme="majorHAnsi"/>
                <w:i/>
                <w:sz w:val="20"/>
                <w:szCs w:val="20"/>
                <w:vertAlign w:val="superscript"/>
              </w:rPr>
              <w:t>a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Gradient</w:t>
            </w:r>
            <w:proofErr w:type="spellEnd"/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conditions</w:t>
            </w:r>
          </w:p>
        </w:tc>
      </w:tr>
      <w:tr w:rsidR="00C21BAA" w:rsidRPr="00B3262E" w:rsidTr="004D1971">
        <w:trPr>
          <w:trHeight w:val="270"/>
        </w:trPr>
        <w:tc>
          <w:tcPr>
            <w:tcW w:w="827" w:type="dxa"/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308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UltiMate3000 (</w:t>
            </w:r>
            <w:proofErr w:type="spellStart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Thermo</w:t>
            </w:r>
            <w:proofErr w:type="spellEnd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 Fisher Scientific)</w:t>
            </w:r>
          </w:p>
        </w:tc>
        <w:tc>
          <w:tcPr>
            <w:tcW w:w="2420" w:type="dxa"/>
            <w:tcBorders>
              <w:left w:val="single" w:sz="4" w:space="0" w:color="FFFFFF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Triple Quad</w:t>
            </w:r>
            <w:r w:rsidRPr="004D1971">
              <w:rPr>
                <w:rFonts w:asciiTheme="majorHAnsi" w:eastAsia="Arial Unicode MS" w:hAnsiTheme="majorHAnsi" w:cstheme="majorHAnsi"/>
                <w:bCs/>
                <w:sz w:val="18"/>
                <w:szCs w:val="18"/>
                <w:vertAlign w:val="superscript"/>
              </w:rPr>
              <w:t>™</w:t>
            </w:r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5500 (SCIEX)</w:t>
            </w:r>
          </w:p>
        </w:tc>
        <w:tc>
          <w:tcPr>
            <w:tcW w:w="2568" w:type="dxa"/>
            <w:tcBorders>
              <w:left w:val="single" w:sz="4" w:space="0" w:color="FFFFFF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ACQUITY UPLC RBEH C8 (Waters)</w:t>
            </w:r>
          </w:p>
        </w:tc>
        <w:tc>
          <w:tcPr>
            <w:tcW w:w="1637" w:type="dxa"/>
            <w:tcBorders>
              <w:left w:val="single" w:sz="4" w:space="0" w:color="FFFFFF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2 solvents</w:t>
            </w:r>
          </w:p>
        </w:tc>
      </w:tr>
      <w:tr w:rsidR="00C21BAA" w:rsidRPr="00B3262E" w:rsidTr="004D1971">
        <w:trPr>
          <w:trHeight w:val="289"/>
        </w:trPr>
        <w:tc>
          <w:tcPr>
            <w:tcW w:w="827" w:type="dxa"/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308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proofErr w:type="spellStart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Acquity</w:t>
            </w:r>
            <w:proofErr w:type="spellEnd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 UPLC H-Class (Waters)</w:t>
            </w:r>
          </w:p>
        </w:tc>
        <w:tc>
          <w:tcPr>
            <w:tcW w:w="2420" w:type="dxa"/>
            <w:tcBorders>
              <w:left w:val="single" w:sz="4" w:space="0" w:color="FFFFFF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proofErr w:type="spellStart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Xevo</w:t>
            </w:r>
            <w:proofErr w:type="spellEnd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 TQ-S micro (Waters)</w:t>
            </w:r>
          </w:p>
        </w:tc>
        <w:tc>
          <w:tcPr>
            <w:tcW w:w="2568" w:type="dxa"/>
            <w:tcBorders>
              <w:left w:val="single" w:sz="4" w:space="0" w:color="FFFFFF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ACQUITY UPLC RBEH C8 (Waters)</w:t>
            </w:r>
          </w:p>
        </w:tc>
        <w:tc>
          <w:tcPr>
            <w:tcW w:w="1637" w:type="dxa"/>
            <w:tcBorders>
              <w:left w:val="single" w:sz="4" w:space="0" w:color="FFFFFF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3 solvents</w:t>
            </w:r>
          </w:p>
        </w:tc>
      </w:tr>
      <w:tr w:rsidR="00C21BAA" w:rsidRPr="00B3262E" w:rsidTr="004D1971">
        <w:trPr>
          <w:trHeight w:val="278"/>
        </w:trPr>
        <w:tc>
          <w:tcPr>
            <w:tcW w:w="827" w:type="dxa"/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08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proofErr w:type="spellStart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Acquity</w:t>
            </w:r>
            <w:proofErr w:type="spellEnd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 UPLC H-Class (Waters)</w:t>
            </w:r>
          </w:p>
        </w:tc>
        <w:tc>
          <w:tcPr>
            <w:tcW w:w="2420" w:type="dxa"/>
            <w:tcBorders>
              <w:left w:val="single" w:sz="4" w:space="0" w:color="FFFFFF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proofErr w:type="spellStart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Xevo</w:t>
            </w:r>
            <w:proofErr w:type="spellEnd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 TQ-S micro (Waters)</w:t>
            </w:r>
          </w:p>
        </w:tc>
        <w:tc>
          <w:tcPr>
            <w:tcW w:w="2568" w:type="dxa"/>
            <w:tcBorders>
              <w:left w:val="single" w:sz="4" w:space="0" w:color="FFFFFF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ACQUITY UPLC RBEH C8 (Waters)</w:t>
            </w:r>
          </w:p>
        </w:tc>
        <w:tc>
          <w:tcPr>
            <w:tcW w:w="1637" w:type="dxa"/>
            <w:tcBorders>
              <w:left w:val="single" w:sz="4" w:space="0" w:color="FFFFFF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3 solvents</w:t>
            </w:r>
          </w:p>
        </w:tc>
      </w:tr>
      <w:tr w:rsidR="00C21BAA" w:rsidRPr="00B3262E" w:rsidTr="004D1971">
        <w:trPr>
          <w:trHeight w:val="283"/>
        </w:trPr>
        <w:tc>
          <w:tcPr>
            <w:tcW w:w="827" w:type="dxa"/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308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proofErr w:type="spellStart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Acquity</w:t>
            </w:r>
            <w:proofErr w:type="spellEnd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 UPLC H-Class (Waters)</w:t>
            </w:r>
          </w:p>
        </w:tc>
        <w:tc>
          <w:tcPr>
            <w:tcW w:w="2420" w:type="dxa"/>
            <w:tcBorders>
              <w:left w:val="single" w:sz="4" w:space="0" w:color="FFFFFF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proofErr w:type="spellStart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Xevo</w:t>
            </w:r>
            <w:proofErr w:type="spellEnd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 TQ-S micro (Waters)</w:t>
            </w:r>
          </w:p>
        </w:tc>
        <w:tc>
          <w:tcPr>
            <w:tcW w:w="2568" w:type="dxa"/>
            <w:tcBorders>
              <w:left w:val="single" w:sz="4" w:space="0" w:color="FFFFFF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ACQUITY UPLC RBEH C8 (Waters)</w:t>
            </w:r>
          </w:p>
        </w:tc>
        <w:tc>
          <w:tcPr>
            <w:tcW w:w="1637" w:type="dxa"/>
            <w:tcBorders>
              <w:left w:val="single" w:sz="4" w:space="0" w:color="FFFFFF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3 solvents</w:t>
            </w:r>
          </w:p>
        </w:tc>
      </w:tr>
      <w:tr w:rsidR="00C21BAA" w:rsidRPr="00B3262E" w:rsidTr="004D1971">
        <w:trPr>
          <w:trHeight w:val="286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3082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proofErr w:type="spellStart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Acquity</w:t>
            </w:r>
            <w:proofErr w:type="spellEnd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 UPLC H-Class (Waters)</w:t>
            </w:r>
          </w:p>
        </w:tc>
        <w:tc>
          <w:tcPr>
            <w:tcW w:w="2420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proofErr w:type="spellStart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Xevo</w:t>
            </w:r>
            <w:proofErr w:type="spellEnd"/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 TQ-S micro (Waters)</w:t>
            </w:r>
          </w:p>
        </w:tc>
        <w:tc>
          <w:tcPr>
            <w:tcW w:w="2568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4D1971">
              <w:rPr>
                <w:rFonts w:asciiTheme="majorHAnsi" w:eastAsia="Arial Unicode MS" w:hAnsiTheme="majorHAnsi" w:cstheme="majorHAnsi"/>
                <w:sz w:val="18"/>
                <w:szCs w:val="18"/>
              </w:rPr>
              <w:t>ACQUITY UPLC RBEH C8 (Waters)</w:t>
            </w:r>
          </w:p>
        </w:tc>
        <w:tc>
          <w:tcPr>
            <w:tcW w:w="1637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3 solvents</w:t>
            </w:r>
          </w:p>
        </w:tc>
      </w:tr>
    </w:tbl>
    <w:p w:rsidR="00C21BAA" w:rsidRPr="004D1971" w:rsidRDefault="00C21BAA" w:rsidP="00C21BAA">
      <w:pPr>
        <w:ind w:rightChars="-5" w:right="-10"/>
        <w:rPr>
          <w:rFonts w:asciiTheme="majorHAnsi" w:eastAsia="Arial Unicode MS" w:hAnsiTheme="majorHAnsi" w:cstheme="majorHAnsi"/>
          <w:sz w:val="24"/>
          <w:szCs w:val="24"/>
        </w:rPr>
      </w:pPr>
      <w:proofErr w:type="spellStart"/>
      <w:r w:rsidRPr="004D1971">
        <w:rPr>
          <w:rFonts w:asciiTheme="majorHAnsi" w:eastAsia="Arial Unicode MS" w:hAnsiTheme="majorHAnsi" w:cstheme="majorHAnsi"/>
          <w:i/>
          <w:sz w:val="24"/>
          <w:szCs w:val="24"/>
          <w:vertAlign w:val="superscript"/>
        </w:rPr>
        <w:t>a</w:t>
      </w:r>
      <w:r>
        <w:rPr>
          <w:rFonts w:asciiTheme="majorHAnsi" w:eastAsia="Arial Unicode MS" w:hAnsiTheme="majorHAnsi" w:cstheme="majorHAnsi"/>
          <w:sz w:val="24"/>
          <w:szCs w:val="24"/>
        </w:rPr>
        <w:t>For</w:t>
      </w:r>
      <w:proofErr w:type="spellEnd"/>
      <w:r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 xml:space="preserve">2 solvents, </w:t>
      </w:r>
      <w:r>
        <w:rPr>
          <w:rFonts w:asciiTheme="majorHAnsi" w:eastAsia="Arial Unicode MS" w:hAnsiTheme="majorHAnsi" w:cstheme="majorHAnsi"/>
          <w:sz w:val="24"/>
          <w:szCs w:val="24"/>
        </w:rPr>
        <w:t>m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>obile phase A consisted of 0.1% formic acid in water</w:t>
      </w:r>
      <w:r>
        <w:rPr>
          <w:rFonts w:asciiTheme="majorHAnsi" w:eastAsia="Arial Unicode MS" w:hAnsiTheme="majorHAnsi" w:cstheme="majorHAnsi"/>
          <w:sz w:val="24"/>
          <w:szCs w:val="24"/>
        </w:rPr>
        <w:t>, and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 xml:space="preserve"> mobile phase B consisted of acetonitrile/2-propanol (6:1);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f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 xml:space="preserve">or 3 solvents, </w:t>
      </w:r>
      <w:r>
        <w:rPr>
          <w:rFonts w:asciiTheme="majorHAnsi" w:eastAsia="Arial Unicode MS" w:hAnsiTheme="majorHAnsi" w:cstheme="majorHAnsi"/>
          <w:sz w:val="24"/>
          <w:szCs w:val="24"/>
        </w:rPr>
        <w:t>m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>obile phase A consisted of 0.1% formic acid in water, mobile phase B consisted of acetonitrile, and mobile phase C consisted of 2-propanol.</w:t>
      </w:r>
    </w:p>
    <w:p w:rsidR="00C21BAA" w:rsidRPr="004D1971" w:rsidRDefault="00C21BAA" w:rsidP="00C21BAA">
      <w:pPr>
        <w:ind w:rightChars="-5" w:right="-10"/>
        <w:rPr>
          <w:rFonts w:asciiTheme="majorHAnsi" w:eastAsia="Arial Unicode MS" w:hAnsiTheme="majorHAnsi" w:cstheme="majorHAnsi"/>
          <w:sz w:val="24"/>
          <w:szCs w:val="24"/>
        </w:rPr>
      </w:pPr>
      <w:r w:rsidRPr="004D1971">
        <w:rPr>
          <w:rFonts w:asciiTheme="majorHAnsi" w:eastAsia="Arial Unicode MS" w:hAnsiTheme="majorHAnsi" w:cstheme="majorHAnsi"/>
          <w:sz w:val="24"/>
          <w:szCs w:val="24"/>
        </w:rPr>
        <w:t xml:space="preserve">Separation and elution conditions were described in </w:t>
      </w:r>
      <w:r>
        <w:rPr>
          <w:rFonts w:asciiTheme="majorHAnsi" w:eastAsia="Arial Unicode MS" w:hAnsiTheme="majorHAnsi" w:cstheme="majorHAnsi"/>
          <w:sz w:val="24"/>
          <w:szCs w:val="24"/>
        </w:rPr>
        <w:t>M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 xml:space="preserve">aterials and </w:t>
      </w:r>
      <w:r>
        <w:rPr>
          <w:rFonts w:asciiTheme="majorHAnsi" w:eastAsia="Arial Unicode MS" w:hAnsiTheme="majorHAnsi" w:cstheme="majorHAnsi"/>
          <w:sz w:val="24"/>
          <w:szCs w:val="24"/>
        </w:rPr>
        <w:t>M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>ethods.</w:t>
      </w:r>
    </w:p>
    <w:p w:rsidR="00824266" w:rsidRPr="00C21BAA" w:rsidRDefault="00824266" w:rsidP="00824266">
      <w:pPr>
        <w:ind w:rightChars="-1754" w:right="-3683"/>
        <w:rPr>
          <w:rFonts w:asciiTheme="majorHAnsi" w:eastAsia="Arial Unicode MS" w:hAnsiTheme="majorHAnsi" w:cstheme="majorHAnsi"/>
          <w:sz w:val="24"/>
          <w:szCs w:val="24"/>
        </w:rPr>
      </w:pPr>
    </w:p>
    <w:p w:rsidR="00824266" w:rsidRPr="00824266" w:rsidRDefault="00824266" w:rsidP="00824266">
      <w:pPr>
        <w:ind w:rightChars="-1484" w:right="-3116"/>
        <w:rPr>
          <w:rFonts w:asciiTheme="majorHAnsi" w:eastAsia="Arial Unicode MS" w:hAnsiTheme="majorHAnsi" w:cstheme="majorHAnsi"/>
          <w:sz w:val="24"/>
          <w:szCs w:val="24"/>
        </w:rPr>
      </w:pPr>
    </w:p>
    <w:p w:rsidR="00C21BAA" w:rsidRPr="004D1971" w:rsidRDefault="00C21BAA" w:rsidP="00C21BAA">
      <w:pPr>
        <w:snapToGrid w:val="0"/>
        <w:spacing w:line="240" w:lineRule="atLeast"/>
        <w:ind w:rightChars="-1754" w:right="-3683"/>
        <w:rPr>
          <w:rFonts w:asciiTheme="majorHAnsi" w:eastAsia="Arial Unicode MS" w:hAnsiTheme="majorHAnsi" w:cstheme="majorHAnsi"/>
          <w:sz w:val="24"/>
          <w:szCs w:val="24"/>
        </w:rPr>
      </w:pPr>
      <w:r w:rsidRPr="004D1971">
        <w:rPr>
          <w:rFonts w:asciiTheme="majorHAnsi" w:eastAsia="Arial Unicode MS" w:hAnsiTheme="majorHAnsi" w:cstheme="majorHAnsi"/>
          <w:sz w:val="24"/>
          <w:szCs w:val="24"/>
        </w:rPr>
        <w:t>Table A.4. Calibration curves and regression coefficients used for the inter-laborator</w:t>
      </w:r>
      <w:r>
        <w:rPr>
          <w:rFonts w:asciiTheme="majorHAnsi" w:eastAsia="Arial Unicode MS" w:hAnsiTheme="majorHAnsi" w:cstheme="majorHAnsi"/>
          <w:sz w:val="24"/>
          <w:szCs w:val="24"/>
        </w:rPr>
        <w:t>y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 xml:space="preserve"> study</w:t>
      </w:r>
    </w:p>
    <w:tbl>
      <w:tblPr>
        <w:tblW w:w="10295" w:type="dxa"/>
        <w:tblLook w:val="0000" w:firstRow="0" w:lastRow="0" w:firstColumn="0" w:lastColumn="0" w:noHBand="0" w:noVBand="0"/>
      </w:tblPr>
      <w:tblGrid>
        <w:gridCol w:w="1022"/>
        <w:gridCol w:w="1565"/>
        <w:gridCol w:w="1751"/>
        <w:gridCol w:w="4275"/>
        <w:gridCol w:w="1682"/>
      </w:tblGrid>
      <w:tr w:rsidR="00C21BAA" w:rsidRPr="00B3262E" w:rsidTr="004D1971">
        <w:trPr>
          <w:trHeight w:val="304"/>
        </w:trPr>
        <w:tc>
          <w:tcPr>
            <w:tcW w:w="102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iCs/>
                <w:sz w:val="20"/>
                <w:szCs w:val="20"/>
              </w:rPr>
              <w:t>Lab no.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proofErr w:type="spellStart"/>
            <w:r w:rsidRPr="004D1971">
              <w:rPr>
                <w:rFonts w:asciiTheme="majorHAnsi" w:eastAsia="Arial Unicode MS" w:hAnsiTheme="majorHAnsi" w:cstheme="majorHAnsi"/>
                <w:i/>
                <w:sz w:val="20"/>
                <w:szCs w:val="20"/>
                <w:vertAlign w:val="superscript"/>
              </w:rPr>
              <w:t>a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Retention</w:t>
            </w:r>
            <w:proofErr w:type="spellEnd"/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time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proofErr w:type="spellStart"/>
            <w:r w:rsidRPr="004D1971">
              <w:rPr>
                <w:rFonts w:asciiTheme="majorHAnsi" w:eastAsia="Arial Unicode MS" w:hAnsiTheme="majorHAnsi" w:cstheme="majorHAnsi"/>
                <w:i/>
                <w:sz w:val="20"/>
                <w:szCs w:val="20"/>
                <w:vertAlign w:val="superscript"/>
              </w:rPr>
              <w:t>b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Range</w:t>
            </w:r>
            <w:proofErr w:type="spellEnd"/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(mg L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  <w:vertAlign w:val="superscript"/>
              </w:rPr>
              <w:t>-1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275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Calibration curve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Regression coefficient (</w:t>
            </w:r>
            <w:r w:rsidRPr="004D1971">
              <w:rPr>
                <w:rFonts w:asciiTheme="majorHAnsi" w:eastAsia="Arial Unicode MS" w:hAnsiTheme="majorHAnsi" w:cstheme="majorHAnsi"/>
                <w:i/>
                <w:sz w:val="20"/>
                <w:szCs w:val="20"/>
              </w:rPr>
              <w:t>r</w:t>
            </w:r>
            <w:r w:rsidRPr="004D1971">
              <w:rPr>
                <w:rFonts w:asciiTheme="majorHAnsi" w:eastAsia="Arial Unicode MS" w:hAnsiTheme="majorHAnsi" w:cstheme="majorHAnsi"/>
                <w:i/>
                <w:sz w:val="20"/>
                <w:szCs w:val="20"/>
                <w:vertAlign w:val="superscript"/>
              </w:rPr>
              <w:t>2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)</w:t>
            </w:r>
          </w:p>
        </w:tc>
      </w:tr>
      <w:tr w:rsidR="00C21BAA" w:rsidRPr="00B3262E" w:rsidTr="004D1971">
        <w:trPr>
          <w:trHeight w:val="279"/>
        </w:trPr>
        <w:tc>
          <w:tcPr>
            <w:tcW w:w="1022" w:type="dxa"/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left w:val="single" w:sz="4" w:space="0" w:color="FFFFFF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2.72</w:t>
            </w:r>
          </w:p>
        </w:tc>
        <w:tc>
          <w:tcPr>
            <w:tcW w:w="1751" w:type="dxa"/>
            <w:tcBorders>
              <w:lef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0.0125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–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0.4</w:t>
            </w:r>
          </w:p>
        </w:tc>
        <w:tc>
          <w:tcPr>
            <w:tcW w:w="4275" w:type="dxa"/>
            <w:tcBorders>
              <w:lef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y = 1322101.1x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  <w:vertAlign w:val="superscript"/>
              </w:rPr>
              <w:t>2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+ 532281.15x – 5072.3667</w:t>
            </w:r>
          </w:p>
        </w:tc>
        <w:tc>
          <w:tcPr>
            <w:tcW w:w="1682" w:type="dxa"/>
            <w:tcBorders>
              <w:lef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0.9999</w:t>
            </w:r>
          </w:p>
        </w:tc>
      </w:tr>
      <w:tr w:rsidR="00C21BAA" w:rsidRPr="00B3262E" w:rsidTr="004D1971">
        <w:trPr>
          <w:trHeight w:val="298"/>
        </w:trPr>
        <w:tc>
          <w:tcPr>
            <w:tcW w:w="1022" w:type="dxa"/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left w:val="single" w:sz="4" w:space="0" w:color="FFFFFF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2.02</w:t>
            </w:r>
          </w:p>
        </w:tc>
        <w:tc>
          <w:tcPr>
            <w:tcW w:w="1751" w:type="dxa"/>
            <w:tcBorders>
              <w:lef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0.0125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–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0.4</w:t>
            </w:r>
          </w:p>
        </w:tc>
        <w:tc>
          <w:tcPr>
            <w:tcW w:w="4275" w:type="dxa"/>
            <w:tcBorders>
              <w:lef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y = 17162x – 252.19</w:t>
            </w:r>
          </w:p>
        </w:tc>
        <w:tc>
          <w:tcPr>
            <w:tcW w:w="1682" w:type="dxa"/>
            <w:tcBorders>
              <w:lef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0.9994</w:t>
            </w:r>
          </w:p>
        </w:tc>
      </w:tr>
      <w:tr w:rsidR="00C21BAA" w:rsidRPr="00B3262E" w:rsidTr="004D1971">
        <w:trPr>
          <w:trHeight w:val="287"/>
        </w:trPr>
        <w:tc>
          <w:tcPr>
            <w:tcW w:w="1022" w:type="dxa"/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left w:val="single" w:sz="4" w:space="0" w:color="FFFFFF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2.09</w:t>
            </w:r>
          </w:p>
        </w:tc>
        <w:tc>
          <w:tcPr>
            <w:tcW w:w="1751" w:type="dxa"/>
            <w:tcBorders>
              <w:lef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0.0125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–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0.4</w:t>
            </w:r>
          </w:p>
        </w:tc>
        <w:tc>
          <w:tcPr>
            <w:tcW w:w="4275" w:type="dxa"/>
            <w:tcBorders>
              <w:lef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y = 22559x – 51.06</w:t>
            </w:r>
          </w:p>
        </w:tc>
        <w:tc>
          <w:tcPr>
            <w:tcW w:w="1682" w:type="dxa"/>
            <w:tcBorders>
              <w:lef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0.9996</w:t>
            </w:r>
          </w:p>
        </w:tc>
      </w:tr>
      <w:tr w:rsidR="00C21BAA" w:rsidRPr="00B3262E" w:rsidTr="004D1971">
        <w:trPr>
          <w:trHeight w:val="292"/>
        </w:trPr>
        <w:tc>
          <w:tcPr>
            <w:tcW w:w="1022" w:type="dxa"/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left w:val="single" w:sz="4" w:space="0" w:color="FFFFFF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1.97</w:t>
            </w:r>
          </w:p>
        </w:tc>
        <w:tc>
          <w:tcPr>
            <w:tcW w:w="1751" w:type="dxa"/>
            <w:tcBorders>
              <w:lef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0.0125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–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0.4</w:t>
            </w:r>
          </w:p>
        </w:tc>
        <w:tc>
          <w:tcPr>
            <w:tcW w:w="4275" w:type="dxa"/>
            <w:tcBorders>
              <w:lef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y = 32306x – 218.81</w:t>
            </w:r>
          </w:p>
        </w:tc>
        <w:tc>
          <w:tcPr>
            <w:tcW w:w="1682" w:type="dxa"/>
            <w:tcBorders>
              <w:left w:val="single" w:sz="4" w:space="0" w:color="FFFFFF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0.9994</w:t>
            </w:r>
          </w:p>
        </w:tc>
      </w:tr>
      <w:tr w:rsidR="00C21BAA" w:rsidRPr="00B3262E" w:rsidTr="004D1971">
        <w:trPr>
          <w:trHeight w:val="295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1.98</w:t>
            </w:r>
          </w:p>
        </w:tc>
        <w:tc>
          <w:tcPr>
            <w:tcW w:w="1751" w:type="dxa"/>
            <w:tcBorders>
              <w:left w:val="single" w:sz="4" w:space="0" w:color="FFFFFF"/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0.0125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–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0.4</w:t>
            </w:r>
          </w:p>
        </w:tc>
        <w:tc>
          <w:tcPr>
            <w:tcW w:w="4275" w:type="dxa"/>
            <w:tcBorders>
              <w:left w:val="single" w:sz="4" w:space="0" w:color="FFFFFF"/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y = 28288x –199.69</w:t>
            </w:r>
          </w:p>
        </w:tc>
        <w:tc>
          <w:tcPr>
            <w:tcW w:w="1682" w:type="dxa"/>
            <w:tcBorders>
              <w:left w:val="single" w:sz="4" w:space="0" w:color="FFFFFF"/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0.9988</w:t>
            </w:r>
          </w:p>
        </w:tc>
      </w:tr>
    </w:tbl>
    <w:p w:rsidR="00C21BAA" w:rsidRPr="004D1971" w:rsidRDefault="00C21BAA" w:rsidP="00C21BAA">
      <w:pPr>
        <w:ind w:rightChars="-5" w:right="-10"/>
        <w:rPr>
          <w:rFonts w:asciiTheme="majorHAnsi" w:eastAsia="Arial Unicode MS" w:hAnsiTheme="majorHAnsi" w:cstheme="majorHAnsi"/>
          <w:sz w:val="24"/>
          <w:szCs w:val="24"/>
        </w:rPr>
      </w:pPr>
      <w:proofErr w:type="spellStart"/>
      <w:proofErr w:type="gramStart"/>
      <w:r w:rsidRPr="004D1971">
        <w:rPr>
          <w:rFonts w:asciiTheme="majorHAnsi" w:eastAsia="Arial Unicode MS" w:hAnsiTheme="majorHAnsi" w:cstheme="majorHAnsi"/>
          <w:i/>
          <w:sz w:val="24"/>
          <w:szCs w:val="24"/>
          <w:vertAlign w:val="superscript"/>
        </w:rPr>
        <w:t>a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>means</w:t>
      </w:r>
      <w:proofErr w:type="spellEnd"/>
      <w:proofErr w:type="gramEnd"/>
      <w:r w:rsidRPr="004D1971">
        <w:rPr>
          <w:rFonts w:asciiTheme="majorHAnsi" w:eastAsia="Arial Unicode MS" w:hAnsiTheme="majorHAnsi" w:cstheme="majorHAnsi"/>
          <w:sz w:val="24"/>
          <w:szCs w:val="24"/>
        </w:rPr>
        <w:t xml:space="preserve"> of 6 points in the calibration curve. </w:t>
      </w:r>
      <w:proofErr w:type="gramStart"/>
      <w:r w:rsidRPr="004D1971">
        <w:rPr>
          <w:rFonts w:asciiTheme="majorHAnsi" w:eastAsia="Arial Unicode MS" w:hAnsiTheme="majorHAnsi" w:cstheme="majorHAnsi"/>
          <w:i/>
          <w:sz w:val="24"/>
          <w:szCs w:val="24"/>
          <w:vertAlign w:val="superscript"/>
        </w:rPr>
        <w:t>b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>6</w:t>
      </w:r>
      <w:proofErr w:type="gramEnd"/>
      <w:r w:rsidRPr="004D1971">
        <w:rPr>
          <w:rFonts w:asciiTheme="majorHAnsi" w:eastAsia="Arial Unicode MS" w:hAnsiTheme="majorHAnsi" w:cstheme="majorHAnsi"/>
          <w:sz w:val="24"/>
          <w:szCs w:val="24"/>
        </w:rPr>
        <w:t xml:space="preserve"> points in the calibration curve: 0.0125, 0.025, 0.05, 0.1, 0.2</w:t>
      </w:r>
      <w:r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 xml:space="preserve"> and 0.4 (mg L</w:t>
      </w:r>
      <w:r w:rsidRPr="004D1971">
        <w:rPr>
          <w:rFonts w:asciiTheme="majorHAnsi" w:eastAsia="Arial Unicode MS" w:hAnsiTheme="majorHAnsi" w:cstheme="majorHAnsi"/>
          <w:sz w:val="24"/>
          <w:szCs w:val="24"/>
          <w:vertAlign w:val="superscript"/>
        </w:rPr>
        <w:t>-1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>).</w:t>
      </w:r>
    </w:p>
    <w:p w:rsidR="009263D1" w:rsidRDefault="009263D1">
      <w:pPr>
        <w:widowControl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5E14EF" w:rsidRPr="004E0499" w:rsidRDefault="005E14EF">
      <w:pPr>
        <w:ind w:rightChars="-1484" w:right="-3116"/>
        <w:rPr>
          <w:rFonts w:ascii="Arial Unicode MS" w:eastAsia="Arial Unicode MS" w:hAnsi="Arial Unicode MS" w:cs="Arial Unicode MS"/>
          <w:sz w:val="24"/>
          <w:szCs w:val="24"/>
        </w:rPr>
      </w:pPr>
    </w:p>
    <w:p w:rsidR="00C21BAA" w:rsidRPr="004D1971" w:rsidRDefault="00C21BAA" w:rsidP="00C21BAA">
      <w:pPr>
        <w:widowControl/>
        <w:ind w:rightChars="-1085" w:right="-2278"/>
        <w:jc w:val="left"/>
        <w:rPr>
          <w:rFonts w:asciiTheme="majorHAnsi" w:eastAsia="Arial Unicode MS" w:hAnsiTheme="majorHAnsi" w:cstheme="majorHAnsi"/>
          <w:sz w:val="24"/>
          <w:szCs w:val="24"/>
        </w:rPr>
      </w:pPr>
      <w:r w:rsidRPr="004D1971">
        <w:rPr>
          <w:rFonts w:asciiTheme="majorHAnsi" w:eastAsia="Arial Unicode MS" w:hAnsiTheme="majorHAnsi" w:cstheme="majorHAnsi"/>
          <w:sz w:val="24"/>
          <w:szCs w:val="24"/>
        </w:rPr>
        <w:t xml:space="preserve">Table A.5. Precursor and product ion </w:t>
      </w:r>
      <w:r w:rsidRPr="004D1971">
        <w:rPr>
          <w:rFonts w:asciiTheme="majorHAnsi" w:eastAsia="Arial Unicode MS" w:hAnsiTheme="majorHAnsi" w:cstheme="majorHAnsi"/>
          <w:i/>
          <w:sz w:val="24"/>
          <w:szCs w:val="24"/>
        </w:rPr>
        <w:t>m/z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4D1971">
        <w:rPr>
          <w:rFonts w:asciiTheme="majorHAnsi" w:eastAsia="Arial Unicode MS" w:hAnsiTheme="majorHAnsi" w:cstheme="majorHAnsi"/>
          <w:sz w:val="24"/>
          <w:szCs w:val="24"/>
        </w:rPr>
        <w:t>values of lutein used in the inter-laboratory study</w:t>
      </w:r>
    </w:p>
    <w:tbl>
      <w:tblPr>
        <w:tblW w:w="9045" w:type="dxa"/>
        <w:tblLook w:val="0000" w:firstRow="0" w:lastRow="0" w:firstColumn="0" w:lastColumn="0" w:noHBand="0" w:noVBand="0"/>
      </w:tblPr>
      <w:tblGrid>
        <w:gridCol w:w="1234"/>
        <w:gridCol w:w="2311"/>
        <w:gridCol w:w="2116"/>
        <w:gridCol w:w="3384"/>
      </w:tblGrid>
      <w:tr w:rsidR="00C21BAA" w:rsidRPr="00B3262E" w:rsidTr="004D1971">
        <w:trPr>
          <w:trHeight w:val="302"/>
        </w:trPr>
        <w:tc>
          <w:tcPr>
            <w:tcW w:w="123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iCs/>
                <w:sz w:val="20"/>
                <w:szCs w:val="20"/>
              </w:rPr>
              <w:t>Lab no.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Precursor ion (</w:t>
            </w:r>
            <w:r w:rsidRPr="004D1971">
              <w:rPr>
                <w:rFonts w:asciiTheme="majorHAnsi" w:eastAsia="Arial Unicode MS" w:hAnsiTheme="majorHAnsi" w:cstheme="majorHAnsi"/>
                <w:i/>
                <w:sz w:val="20"/>
                <w:szCs w:val="20"/>
              </w:rPr>
              <w:t>m/z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Product ion (</w:t>
            </w:r>
            <w:r w:rsidRPr="004D1971">
              <w:rPr>
                <w:rFonts w:asciiTheme="majorHAnsi" w:eastAsia="Arial Unicode MS" w:hAnsiTheme="majorHAnsi" w:cstheme="majorHAnsi"/>
                <w:i/>
                <w:sz w:val="20"/>
                <w:szCs w:val="20"/>
              </w:rPr>
              <w:t>m/z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Descriptions</w:t>
            </w:r>
          </w:p>
        </w:tc>
      </w:tr>
      <w:tr w:rsidR="00C21BAA" w:rsidRPr="00B3262E" w:rsidTr="004D1971">
        <w:trPr>
          <w:trHeight w:val="294"/>
        </w:trPr>
        <w:tc>
          <w:tcPr>
            <w:tcW w:w="1234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551.425</w:t>
            </w:r>
          </w:p>
        </w:tc>
        <w:tc>
          <w:tcPr>
            <w:tcW w:w="2116" w:type="dxa"/>
            <w:tcBorders>
              <w:top w:val="single" w:sz="6" w:space="0" w:color="000000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105.070</w:t>
            </w:r>
          </w:p>
        </w:tc>
        <w:tc>
          <w:tcPr>
            <w:tcW w:w="3384" w:type="dxa"/>
            <w:tcBorders>
              <w:top w:val="single" w:sz="6" w:space="0" w:color="000000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[M-H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  <w:vertAlign w:val="subscript"/>
              </w:rPr>
              <w:t>2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O+H]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  <w:vertAlign w:val="superscript"/>
              </w:rPr>
              <w:t>+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, quantitative ion</w:t>
            </w:r>
          </w:p>
        </w:tc>
      </w:tr>
      <w:tr w:rsidR="00C21BAA" w:rsidRPr="00B3262E" w:rsidTr="004D1971">
        <w:trPr>
          <w:trHeight w:val="294"/>
        </w:trPr>
        <w:tc>
          <w:tcPr>
            <w:tcW w:w="1234" w:type="dxa"/>
            <w:vMerge/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551.425</w:t>
            </w:r>
          </w:p>
        </w:tc>
        <w:tc>
          <w:tcPr>
            <w:tcW w:w="2116" w:type="dxa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91.055</w:t>
            </w:r>
          </w:p>
        </w:tc>
        <w:tc>
          <w:tcPr>
            <w:tcW w:w="3384" w:type="dxa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[M-H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  <w:vertAlign w:val="subscript"/>
              </w:rPr>
              <w:t>2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O+H]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  <w:vertAlign w:val="superscript"/>
              </w:rPr>
              <w:t>+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, confirmation ion</w:t>
            </w:r>
          </w:p>
        </w:tc>
      </w:tr>
      <w:tr w:rsidR="00C21BAA" w:rsidRPr="00B3262E" w:rsidTr="004D1971">
        <w:trPr>
          <w:trHeight w:val="294"/>
        </w:trPr>
        <w:tc>
          <w:tcPr>
            <w:tcW w:w="1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551.425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119.086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[M-H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  <w:vertAlign w:val="subscript"/>
              </w:rPr>
              <w:t>2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O+H]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  <w:vertAlign w:val="superscript"/>
              </w:rPr>
              <w:t>+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, confirmation ion</w:t>
            </w:r>
          </w:p>
        </w:tc>
      </w:tr>
      <w:tr w:rsidR="00C21BAA" w:rsidRPr="00B3262E" w:rsidTr="004D1971">
        <w:trPr>
          <w:trHeight w:val="294"/>
        </w:trPr>
        <w:tc>
          <w:tcPr>
            <w:tcW w:w="12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551.4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105.0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[M-H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  <w:vertAlign w:val="subscript"/>
              </w:rPr>
              <w:t>2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O+H]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  <w:vertAlign w:val="superscript"/>
              </w:rPr>
              <w:t>+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, quantitative ion</w:t>
            </w:r>
          </w:p>
        </w:tc>
      </w:tr>
      <w:tr w:rsidR="00C21BAA" w:rsidRPr="00B3262E" w:rsidTr="004D1971">
        <w:trPr>
          <w:trHeight w:val="294"/>
        </w:trPr>
        <w:tc>
          <w:tcPr>
            <w:tcW w:w="1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568.4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105.0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[M+], confirmation ion</w:t>
            </w:r>
          </w:p>
        </w:tc>
      </w:tr>
      <w:tr w:rsidR="00C21BAA" w:rsidRPr="00B3262E" w:rsidTr="004D1971">
        <w:trPr>
          <w:trHeight w:val="294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551.400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104.800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[M-H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  <w:vertAlign w:val="subscript"/>
              </w:rPr>
              <w:t>2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O+H]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  <w:vertAlign w:val="superscript"/>
              </w:rPr>
              <w:t>+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, quantitative ion</w:t>
            </w:r>
          </w:p>
        </w:tc>
      </w:tr>
      <w:tr w:rsidR="00C21BAA" w:rsidRPr="00B3262E" w:rsidTr="004D1971">
        <w:trPr>
          <w:trHeight w:val="294"/>
        </w:trPr>
        <w:tc>
          <w:tcPr>
            <w:tcW w:w="12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551.468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105.023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[M-H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  <w:vertAlign w:val="subscript"/>
              </w:rPr>
              <w:t>2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O+H]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  <w:vertAlign w:val="superscript"/>
              </w:rPr>
              <w:t>+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, quantitative ion</w:t>
            </w:r>
          </w:p>
        </w:tc>
      </w:tr>
      <w:tr w:rsidR="00C21BAA" w:rsidRPr="00B3262E" w:rsidTr="004D1971">
        <w:trPr>
          <w:trHeight w:val="294"/>
        </w:trPr>
        <w:tc>
          <w:tcPr>
            <w:tcW w:w="1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568.468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105.023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[M+], confirmation ion</w:t>
            </w:r>
          </w:p>
        </w:tc>
      </w:tr>
      <w:tr w:rsidR="00C21BAA" w:rsidRPr="00B3262E" w:rsidTr="004D1971">
        <w:trPr>
          <w:trHeight w:val="294"/>
        </w:trPr>
        <w:tc>
          <w:tcPr>
            <w:tcW w:w="12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BAA" w:rsidRPr="004D1971" w:rsidRDefault="00C21BAA" w:rsidP="004D1971">
            <w:pPr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551.468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105.023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[M-H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  <w:vertAlign w:val="subscript"/>
              </w:rPr>
              <w:t>2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O+H]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  <w:vertAlign w:val="superscript"/>
              </w:rPr>
              <w:t>+</w:t>
            </w: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, quantitative ion</w:t>
            </w:r>
          </w:p>
        </w:tc>
      </w:tr>
      <w:tr w:rsidR="00C21BAA" w:rsidRPr="00B3262E" w:rsidTr="004D1971">
        <w:trPr>
          <w:trHeight w:val="294"/>
        </w:trPr>
        <w:tc>
          <w:tcPr>
            <w:tcW w:w="1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568.468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105.023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C21BAA" w:rsidRPr="004D1971" w:rsidRDefault="00C21BAA" w:rsidP="004D1971">
            <w:pPr>
              <w:snapToGrid w:val="0"/>
              <w:spacing w:line="240" w:lineRule="atLeast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 w:rsidRPr="004D1971">
              <w:rPr>
                <w:rFonts w:asciiTheme="majorHAnsi" w:eastAsia="Arial Unicode MS" w:hAnsiTheme="majorHAnsi" w:cstheme="majorHAnsi"/>
                <w:sz w:val="20"/>
                <w:szCs w:val="20"/>
              </w:rPr>
              <w:t>[M+], confirmation ion</w:t>
            </w:r>
          </w:p>
        </w:tc>
      </w:tr>
    </w:tbl>
    <w:p w:rsidR="00994761" w:rsidRPr="004E0499" w:rsidRDefault="00994761">
      <w:pPr>
        <w:ind w:rightChars="-1484" w:right="-3116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sectPr w:rsidR="00994761" w:rsidRPr="004E0499" w:rsidSect="004E0499">
      <w:pgSz w:w="11906" w:h="16838"/>
      <w:pgMar w:top="720" w:right="127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54" w:rsidRDefault="00D40B54" w:rsidP="00D94748">
      <w:r>
        <w:separator/>
      </w:r>
    </w:p>
  </w:endnote>
  <w:endnote w:type="continuationSeparator" w:id="0">
    <w:p w:rsidR="00D40B54" w:rsidRDefault="00D40B54" w:rsidP="00D9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54" w:rsidRDefault="00D40B54" w:rsidP="00D94748">
      <w:r>
        <w:separator/>
      </w:r>
    </w:p>
  </w:footnote>
  <w:footnote w:type="continuationSeparator" w:id="0">
    <w:p w:rsidR="00D40B54" w:rsidRDefault="00D40B54" w:rsidP="00D9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2A"/>
    <w:rsid w:val="000035B1"/>
    <w:rsid w:val="000058C5"/>
    <w:rsid w:val="000079B6"/>
    <w:rsid w:val="00037A80"/>
    <w:rsid w:val="00041601"/>
    <w:rsid w:val="000436D1"/>
    <w:rsid w:val="000620AA"/>
    <w:rsid w:val="000A0916"/>
    <w:rsid w:val="000A555A"/>
    <w:rsid w:val="000B0688"/>
    <w:rsid w:val="000B1088"/>
    <w:rsid w:val="000E58A4"/>
    <w:rsid w:val="000F031B"/>
    <w:rsid w:val="000F09BE"/>
    <w:rsid w:val="00123197"/>
    <w:rsid w:val="001317C2"/>
    <w:rsid w:val="00137F86"/>
    <w:rsid w:val="0014665C"/>
    <w:rsid w:val="00163BB2"/>
    <w:rsid w:val="001C53B0"/>
    <w:rsid w:val="001E35AA"/>
    <w:rsid w:val="001F5F2F"/>
    <w:rsid w:val="00227FC5"/>
    <w:rsid w:val="00241EA0"/>
    <w:rsid w:val="002435A7"/>
    <w:rsid w:val="002517CB"/>
    <w:rsid w:val="00267352"/>
    <w:rsid w:val="002820DC"/>
    <w:rsid w:val="00292603"/>
    <w:rsid w:val="0029424C"/>
    <w:rsid w:val="002B71CE"/>
    <w:rsid w:val="002D0C14"/>
    <w:rsid w:val="002E1154"/>
    <w:rsid w:val="00300564"/>
    <w:rsid w:val="003605A2"/>
    <w:rsid w:val="00360AF2"/>
    <w:rsid w:val="003614DB"/>
    <w:rsid w:val="00366C35"/>
    <w:rsid w:val="00376EB4"/>
    <w:rsid w:val="003A170A"/>
    <w:rsid w:val="003A1E9B"/>
    <w:rsid w:val="003B6F9F"/>
    <w:rsid w:val="003C03DE"/>
    <w:rsid w:val="003C2DBD"/>
    <w:rsid w:val="003D3E43"/>
    <w:rsid w:val="00400678"/>
    <w:rsid w:val="00424617"/>
    <w:rsid w:val="004434B0"/>
    <w:rsid w:val="004464AC"/>
    <w:rsid w:val="00463812"/>
    <w:rsid w:val="004964BF"/>
    <w:rsid w:val="004C1F18"/>
    <w:rsid w:val="004C2F69"/>
    <w:rsid w:val="004E0499"/>
    <w:rsid w:val="00506C9F"/>
    <w:rsid w:val="00512D9F"/>
    <w:rsid w:val="00515A7A"/>
    <w:rsid w:val="00571DDC"/>
    <w:rsid w:val="00573695"/>
    <w:rsid w:val="005A3591"/>
    <w:rsid w:val="005B513C"/>
    <w:rsid w:val="005D1F2E"/>
    <w:rsid w:val="005E14EF"/>
    <w:rsid w:val="005E5014"/>
    <w:rsid w:val="0060574D"/>
    <w:rsid w:val="00611003"/>
    <w:rsid w:val="00613039"/>
    <w:rsid w:val="00621D0C"/>
    <w:rsid w:val="00622BC3"/>
    <w:rsid w:val="00627BE4"/>
    <w:rsid w:val="00636696"/>
    <w:rsid w:val="006567FD"/>
    <w:rsid w:val="0067475E"/>
    <w:rsid w:val="00697E3F"/>
    <w:rsid w:val="006A4369"/>
    <w:rsid w:val="006A438D"/>
    <w:rsid w:val="006B1CA8"/>
    <w:rsid w:val="006E235B"/>
    <w:rsid w:val="00703006"/>
    <w:rsid w:val="00712576"/>
    <w:rsid w:val="0071594A"/>
    <w:rsid w:val="00724058"/>
    <w:rsid w:val="00743742"/>
    <w:rsid w:val="0074572C"/>
    <w:rsid w:val="007623D9"/>
    <w:rsid w:val="007828A9"/>
    <w:rsid w:val="00786FEB"/>
    <w:rsid w:val="007879D2"/>
    <w:rsid w:val="007C37E8"/>
    <w:rsid w:val="007C507C"/>
    <w:rsid w:val="007F0158"/>
    <w:rsid w:val="007F2A7D"/>
    <w:rsid w:val="008073D6"/>
    <w:rsid w:val="00822FED"/>
    <w:rsid w:val="00824266"/>
    <w:rsid w:val="00825ABE"/>
    <w:rsid w:val="008321DE"/>
    <w:rsid w:val="00860357"/>
    <w:rsid w:val="008A176B"/>
    <w:rsid w:val="008C56AB"/>
    <w:rsid w:val="008D7251"/>
    <w:rsid w:val="008F63EB"/>
    <w:rsid w:val="008F6ABE"/>
    <w:rsid w:val="00914263"/>
    <w:rsid w:val="00921FD1"/>
    <w:rsid w:val="009263D1"/>
    <w:rsid w:val="00963F0E"/>
    <w:rsid w:val="00977FE7"/>
    <w:rsid w:val="00981EC6"/>
    <w:rsid w:val="00985448"/>
    <w:rsid w:val="00990292"/>
    <w:rsid w:val="009924EF"/>
    <w:rsid w:val="00993CAC"/>
    <w:rsid w:val="00994761"/>
    <w:rsid w:val="009C481F"/>
    <w:rsid w:val="009C553A"/>
    <w:rsid w:val="009C6C82"/>
    <w:rsid w:val="009D0A4F"/>
    <w:rsid w:val="009E06F6"/>
    <w:rsid w:val="009E3467"/>
    <w:rsid w:val="009E6DC5"/>
    <w:rsid w:val="00A12FB3"/>
    <w:rsid w:val="00A13AEA"/>
    <w:rsid w:val="00A37254"/>
    <w:rsid w:val="00A535CF"/>
    <w:rsid w:val="00AB26FD"/>
    <w:rsid w:val="00AC33E4"/>
    <w:rsid w:val="00AC4C2A"/>
    <w:rsid w:val="00AE46CB"/>
    <w:rsid w:val="00B052C1"/>
    <w:rsid w:val="00B148B7"/>
    <w:rsid w:val="00B402E4"/>
    <w:rsid w:val="00B4716C"/>
    <w:rsid w:val="00B51737"/>
    <w:rsid w:val="00B543EF"/>
    <w:rsid w:val="00B95508"/>
    <w:rsid w:val="00BD730C"/>
    <w:rsid w:val="00C21BAA"/>
    <w:rsid w:val="00C35BBB"/>
    <w:rsid w:val="00C36CC6"/>
    <w:rsid w:val="00C57A7A"/>
    <w:rsid w:val="00C709C1"/>
    <w:rsid w:val="00C75338"/>
    <w:rsid w:val="00C86112"/>
    <w:rsid w:val="00C87145"/>
    <w:rsid w:val="00CE1846"/>
    <w:rsid w:val="00CE1C9E"/>
    <w:rsid w:val="00CF6410"/>
    <w:rsid w:val="00D21E1E"/>
    <w:rsid w:val="00D25BF0"/>
    <w:rsid w:val="00D40B54"/>
    <w:rsid w:val="00D42B50"/>
    <w:rsid w:val="00D47AE0"/>
    <w:rsid w:val="00D56FA0"/>
    <w:rsid w:val="00D94748"/>
    <w:rsid w:val="00DA32BE"/>
    <w:rsid w:val="00DA4100"/>
    <w:rsid w:val="00DC5622"/>
    <w:rsid w:val="00DE7772"/>
    <w:rsid w:val="00E30A7A"/>
    <w:rsid w:val="00E35948"/>
    <w:rsid w:val="00E63E1D"/>
    <w:rsid w:val="00E81DEE"/>
    <w:rsid w:val="00EB0E66"/>
    <w:rsid w:val="00ED1419"/>
    <w:rsid w:val="00ED4C4D"/>
    <w:rsid w:val="00EE6E91"/>
    <w:rsid w:val="00EE7B45"/>
    <w:rsid w:val="00F1292C"/>
    <w:rsid w:val="00F13184"/>
    <w:rsid w:val="00F254E2"/>
    <w:rsid w:val="00F44128"/>
    <w:rsid w:val="00FA250D"/>
    <w:rsid w:val="00FB2FB2"/>
    <w:rsid w:val="00FC7E6A"/>
    <w:rsid w:val="00FD3007"/>
    <w:rsid w:val="00FD4BED"/>
    <w:rsid w:val="00FE2735"/>
    <w:rsid w:val="00FE3BD9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748"/>
  </w:style>
  <w:style w:type="paragraph" w:styleId="a5">
    <w:name w:val="footer"/>
    <w:basedOn w:val="a"/>
    <w:link w:val="a6"/>
    <w:uiPriority w:val="99"/>
    <w:unhideWhenUsed/>
    <w:rsid w:val="00D94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748"/>
  </w:style>
  <w:style w:type="character" w:styleId="a7">
    <w:name w:val="annotation reference"/>
    <w:basedOn w:val="a0"/>
    <w:uiPriority w:val="99"/>
    <w:semiHidden/>
    <w:unhideWhenUsed/>
    <w:rsid w:val="005A359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359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A3591"/>
  </w:style>
  <w:style w:type="paragraph" w:styleId="aa">
    <w:name w:val="annotation subject"/>
    <w:basedOn w:val="a8"/>
    <w:next w:val="a8"/>
    <w:link w:val="ab"/>
    <w:uiPriority w:val="99"/>
    <w:semiHidden/>
    <w:unhideWhenUsed/>
    <w:rsid w:val="005A359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A359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A3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59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57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748"/>
  </w:style>
  <w:style w:type="paragraph" w:styleId="a5">
    <w:name w:val="footer"/>
    <w:basedOn w:val="a"/>
    <w:link w:val="a6"/>
    <w:uiPriority w:val="99"/>
    <w:unhideWhenUsed/>
    <w:rsid w:val="00D94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748"/>
  </w:style>
  <w:style w:type="character" w:styleId="a7">
    <w:name w:val="annotation reference"/>
    <w:basedOn w:val="a0"/>
    <w:uiPriority w:val="99"/>
    <w:semiHidden/>
    <w:unhideWhenUsed/>
    <w:rsid w:val="005A359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359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A3591"/>
  </w:style>
  <w:style w:type="paragraph" w:styleId="aa">
    <w:name w:val="annotation subject"/>
    <w:basedOn w:val="a8"/>
    <w:next w:val="a8"/>
    <w:link w:val="ab"/>
    <w:uiPriority w:val="99"/>
    <w:semiHidden/>
    <w:unhideWhenUsed/>
    <w:rsid w:val="005A359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A359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A3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59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57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65E5-4ED4-47D7-99EA-0AF58872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3587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雅史</dc:creator>
  <cp:lastModifiedBy>三浦 雅史</cp:lastModifiedBy>
  <cp:revision>4</cp:revision>
  <dcterms:created xsi:type="dcterms:W3CDTF">2019-11-25T01:10:00Z</dcterms:created>
  <dcterms:modified xsi:type="dcterms:W3CDTF">2019-11-25T01:16:00Z</dcterms:modified>
</cp:coreProperties>
</file>