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64" w:rsidRPr="00804B64" w:rsidRDefault="00804B64" w:rsidP="00804B64">
      <w:pPr>
        <w:jc w:val="center"/>
        <w:rPr>
          <w:b/>
        </w:rPr>
      </w:pPr>
      <w:r w:rsidRPr="00804B64">
        <w:rPr>
          <w:b/>
        </w:rPr>
        <w:t>Appendix A</w:t>
      </w:r>
    </w:p>
    <w:p w:rsidR="00804B64" w:rsidRDefault="00804B64" w:rsidP="00804B64">
      <w:pPr>
        <w:jc w:val="center"/>
      </w:pPr>
      <w:r w:rsidRPr="00804B64">
        <w:drawing>
          <wp:inline distT="0" distB="0" distL="0" distR="0">
            <wp:extent cx="7896225" cy="440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B64" w:rsidRDefault="00804B64" w:rsidP="00804B64">
      <w:r>
        <w:t xml:space="preserve">*Note – These loading were obtained from the pattern matrix from the direct </w:t>
      </w:r>
      <w:proofErr w:type="spellStart"/>
      <w:r>
        <w:t>oblimin</w:t>
      </w:r>
      <w:proofErr w:type="spellEnd"/>
      <w:r>
        <w:t xml:space="preserve"> rotation method. The same factor structure was also evident in the str</w:t>
      </w:r>
      <w:bookmarkStart w:id="0" w:name="_GoBack"/>
      <w:bookmarkEnd w:id="0"/>
      <w:r>
        <w:t>ucture matrix.</w:t>
      </w:r>
    </w:p>
    <w:sectPr w:rsidR="00804B64" w:rsidSect="00804B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64"/>
    <w:rsid w:val="00804B64"/>
    <w:rsid w:val="00B57A26"/>
    <w:rsid w:val="00DB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841F8-7788-4EBC-9191-21836CF6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Coey</dc:creator>
  <cp:keywords/>
  <dc:description/>
  <cp:lastModifiedBy>Charles Coey</cp:lastModifiedBy>
  <cp:revision>1</cp:revision>
  <dcterms:created xsi:type="dcterms:W3CDTF">2018-04-26T22:11:00Z</dcterms:created>
  <dcterms:modified xsi:type="dcterms:W3CDTF">2018-04-26T22:13:00Z</dcterms:modified>
</cp:coreProperties>
</file>