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D2557" w14:textId="641E28FC" w:rsidR="000046CC" w:rsidRDefault="000046CC" w:rsidP="005D02DC">
      <w:pPr>
        <w:spacing w:after="0" w:line="276" w:lineRule="auto"/>
        <w:contextualSpacing/>
        <w:rPr>
          <w:rFonts w:cs="Arial"/>
        </w:rPr>
      </w:pPr>
    </w:p>
    <w:tbl>
      <w:tblPr>
        <w:tblStyle w:val="TableGrid"/>
        <w:tblW w:w="0" w:type="auto"/>
        <w:tblLook w:val="04A0" w:firstRow="1" w:lastRow="0" w:firstColumn="1" w:lastColumn="0" w:noHBand="0" w:noVBand="1"/>
      </w:tblPr>
      <w:tblGrid>
        <w:gridCol w:w="3397"/>
        <w:gridCol w:w="2127"/>
        <w:gridCol w:w="3492"/>
      </w:tblGrid>
      <w:tr w:rsidR="000046CC" w:rsidRPr="000046CC" w14:paraId="30782ECC" w14:textId="77777777" w:rsidTr="00E97200">
        <w:trPr>
          <w:tblHeader/>
        </w:trPr>
        <w:tc>
          <w:tcPr>
            <w:tcW w:w="3397" w:type="dxa"/>
            <w:shd w:val="clear" w:color="auto" w:fill="BFBFBF" w:themeFill="background1" w:themeFillShade="BF"/>
            <w:vAlign w:val="center"/>
          </w:tcPr>
          <w:p w14:paraId="4F669AD2" w14:textId="77777777" w:rsidR="000046CC" w:rsidRPr="000046CC" w:rsidRDefault="000046CC" w:rsidP="007153BA">
            <w:pPr>
              <w:spacing w:line="276" w:lineRule="auto"/>
              <w:contextualSpacing/>
              <w:jc w:val="center"/>
              <w:rPr>
                <w:rFonts w:cs="Arial"/>
              </w:rPr>
            </w:pPr>
            <w:r w:rsidRPr="000046CC">
              <w:rPr>
                <w:rFonts w:cs="Arial"/>
              </w:rPr>
              <w:t>Question</w:t>
            </w:r>
          </w:p>
        </w:tc>
        <w:tc>
          <w:tcPr>
            <w:tcW w:w="2127" w:type="dxa"/>
            <w:shd w:val="clear" w:color="auto" w:fill="BFBFBF" w:themeFill="background1" w:themeFillShade="BF"/>
            <w:vAlign w:val="center"/>
          </w:tcPr>
          <w:p w14:paraId="2E4E3B37" w14:textId="77777777" w:rsidR="000046CC" w:rsidRPr="000046CC" w:rsidRDefault="000046CC" w:rsidP="007153BA">
            <w:pPr>
              <w:spacing w:line="276" w:lineRule="auto"/>
              <w:contextualSpacing/>
              <w:jc w:val="center"/>
              <w:rPr>
                <w:rFonts w:cs="Arial"/>
              </w:rPr>
            </w:pPr>
            <w:r w:rsidRPr="000046CC">
              <w:rPr>
                <w:rFonts w:cs="Arial"/>
              </w:rPr>
              <w:t>Chi-squared</w:t>
            </w:r>
          </w:p>
        </w:tc>
        <w:tc>
          <w:tcPr>
            <w:tcW w:w="3492" w:type="dxa"/>
            <w:shd w:val="clear" w:color="auto" w:fill="BFBFBF" w:themeFill="background1" w:themeFillShade="BF"/>
            <w:vAlign w:val="center"/>
          </w:tcPr>
          <w:p w14:paraId="0A42670E" w14:textId="028F235F" w:rsidR="000046CC" w:rsidRPr="000046CC" w:rsidRDefault="000046CC" w:rsidP="007153BA">
            <w:pPr>
              <w:spacing w:line="276" w:lineRule="auto"/>
              <w:contextualSpacing/>
              <w:jc w:val="center"/>
              <w:rPr>
                <w:rFonts w:cs="Arial"/>
              </w:rPr>
            </w:pPr>
            <w:r w:rsidRPr="000046CC">
              <w:rPr>
                <w:rFonts w:cs="Arial"/>
              </w:rPr>
              <w:t>Interpretation</w:t>
            </w:r>
          </w:p>
        </w:tc>
      </w:tr>
      <w:tr w:rsidR="000046CC" w:rsidRPr="000046CC" w14:paraId="76C82436" w14:textId="77777777" w:rsidTr="00E97200">
        <w:tc>
          <w:tcPr>
            <w:tcW w:w="3397" w:type="dxa"/>
            <w:vAlign w:val="center"/>
          </w:tcPr>
          <w:p w14:paraId="43522D17" w14:textId="694DF2A8" w:rsidR="000046CC" w:rsidRPr="000046CC" w:rsidRDefault="000046CC" w:rsidP="007153BA">
            <w:pPr>
              <w:spacing w:line="276" w:lineRule="auto"/>
              <w:contextualSpacing/>
              <w:rPr>
                <w:rFonts w:cs="Arial"/>
              </w:rPr>
            </w:pPr>
            <w:r>
              <w:rPr>
                <w:rFonts w:ascii="Calibri" w:hAnsi="Calibri"/>
                <w:color w:val="000000"/>
              </w:rPr>
              <w:t>Integrates subject matter relating to international and intercultural perspectives (e.g. international case studies, examples, practices</w:t>
            </w:r>
          </w:p>
        </w:tc>
        <w:tc>
          <w:tcPr>
            <w:tcW w:w="2127" w:type="dxa"/>
            <w:vAlign w:val="center"/>
          </w:tcPr>
          <w:p w14:paraId="42989144" w14:textId="105D8A16" w:rsidR="000046CC" w:rsidRPr="000046CC" w:rsidRDefault="000046CC" w:rsidP="007153BA">
            <w:pPr>
              <w:spacing w:line="276" w:lineRule="auto"/>
              <w:contextualSpacing/>
              <w:rPr>
                <w:rFonts w:cs="Arial"/>
              </w:rPr>
            </w:pPr>
            <w:r w:rsidRPr="00AF210C">
              <w:rPr>
                <w:rFonts w:cs="Arial"/>
              </w:rPr>
              <w:t>χ(1) = 5.015, p = .171</w:t>
            </w:r>
          </w:p>
        </w:tc>
        <w:tc>
          <w:tcPr>
            <w:tcW w:w="3492" w:type="dxa"/>
            <w:vAlign w:val="center"/>
          </w:tcPr>
          <w:p w14:paraId="7209A33C" w14:textId="7F834661" w:rsidR="000046CC" w:rsidRPr="000046CC" w:rsidRDefault="00314F82" w:rsidP="007153BA">
            <w:pPr>
              <w:spacing w:line="276" w:lineRule="auto"/>
              <w:contextualSpacing/>
              <w:rPr>
                <w:rFonts w:cs="Arial"/>
              </w:rPr>
            </w:pPr>
            <w:r>
              <w:rPr>
                <w:rFonts w:cs="Arial"/>
              </w:rPr>
              <w:t xml:space="preserve">Very strong overall agreement. </w:t>
            </w:r>
            <w:r w:rsidR="007153BA">
              <w:rPr>
                <w:rFonts w:cs="Arial"/>
              </w:rPr>
              <w:t>No statistically significant differences between programmes.</w:t>
            </w:r>
          </w:p>
        </w:tc>
      </w:tr>
      <w:tr w:rsidR="000046CC" w:rsidRPr="000046CC" w14:paraId="006E2203" w14:textId="77777777" w:rsidTr="00E97200">
        <w:tc>
          <w:tcPr>
            <w:tcW w:w="3397" w:type="dxa"/>
            <w:vAlign w:val="center"/>
          </w:tcPr>
          <w:p w14:paraId="6BF3BB14" w14:textId="6E630BEB" w:rsidR="000046CC" w:rsidRPr="000046CC" w:rsidRDefault="000046CC" w:rsidP="007153BA">
            <w:pPr>
              <w:spacing w:line="276" w:lineRule="auto"/>
              <w:contextualSpacing/>
              <w:rPr>
                <w:rFonts w:cs="Arial"/>
              </w:rPr>
            </w:pPr>
            <w:r>
              <w:rPr>
                <w:rFonts w:ascii="Calibri" w:hAnsi="Calibri"/>
                <w:color w:val="000000"/>
              </w:rPr>
              <w:t xml:space="preserve">Incorporates real-life or simulated tasks which examine cross-cultural communication, </w:t>
            </w:r>
            <w:proofErr w:type="spellStart"/>
            <w:r>
              <w:rPr>
                <w:rFonts w:ascii="Calibri" w:hAnsi="Calibri"/>
                <w:color w:val="000000"/>
              </w:rPr>
              <w:t>negotiationand</w:t>
            </w:r>
            <w:proofErr w:type="spellEnd"/>
            <w:r>
              <w:rPr>
                <w:rFonts w:ascii="Calibri" w:hAnsi="Calibri"/>
                <w:color w:val="000000"/>
              </w:rPr>
              <w:t xml:space="preserve"> conflict resolution</w:t>
            </w:r>
          </w:p>
        </w:tc>
        <w:tc>
          <w:tcPr>
            <w:tcW w:w="2127" w:type="dxa"/>
            <w:vAlign w:val="center"/>
          </w:tcPr>
          <w:p w14:paraId="005CEC4D" w14:textId="7C7C578A" w:rsidR="000046CC" w:rsidRPr="000046CC" w:rsidRDefault="000046CC" w:rsidP="00732699">
            <w:pPr>
              <w:spacing w:line="276" w:lineRule="auto"/>
              <w:contextualSpacing/>
              <w:rPr>
                <w:rFonts w:cs="Arial"/>
              </w:rPr>
            </w:pPr>
            <w:r w:rsidRPr="00AF210C">
              <w:rPr>
                <w:rFonts w:cs="Arial"/>
              </w:rPr>
              <w:t>χ(1) = 4.575, p = .206</w:t>
            </w:r>
          </w:p>
        </w:tc>
        <w:tc>
          <w:tcPr>
            <w:tcW w:w="3492" w:type="dxa"/>
            <w:vAlign w:val="center"/>
          </w:tcPr>
          <w:p w14:paraId="07E1E72B" w14:textId="742DA276" w:rsidR="000046CC" w:rsidRPr="000046CC" w:rsidRDefault="00314F82" w:rsidP="007153BA">
            <w:pPr>
              <w:spacing w:line="276" w:lineRule="auto"/>
              <w:contextualSpacing/>
              <w:rPr>
                <w:rFonts w:cs="Arial"/>
              </w:rPr>
            </w:pPr>
            <w:r>
              <w:rPr>
                <w:rFonts w:cs="Arial"/>
              </w:rPr>
              <w:t xml:space="preserve">General agreement overall except for slight disagreement from hospitality students, but differences </w:t>
            </w:r>
            <w:r w:rsidR="007153BA">
              <w:rPr>
                <w:rFonts w:cs="Arial"/>
              </w:rPr>
              <w:t xml:space="preserve">between programmes </w:t>
            </w:r>
            <w:r>
              <w:rPr>
                <w:rFonts w:cs="Arial"/>
              </w:rPr>
              <w:t xml:space="preserve">were not statistically significant. </w:t>
            </w:r>
          </w:p>
        </w:tc>
      </w:tr>
      <w:tr w:rsidR="000046CC" w:rsidRPr="000046CC" w14:paraId="159750DC" w14:textId="77777777" w:rsidTr="00E97200">
        <w:tc>
          <w:tcPr>
            <w:tcW w:w="3397" w:type="dxa"/>
            <w:vAlign w:val="center"/>
          </w:tcPr>
          <w:p w14:paraId="04FEC84D" w14:textId="68CD1DFF" w:rsidR="000046CC" w:rsidRPr="000046CC" w:rsidRDefault="000046CC" w:rsidP="007153BA">
            <w:pPr>
              <w:spacing w:line="276" w:lineRule="auto"/>
              <w:contextualSpacing/>
              <w:rPr>
                <w:rFonts w:cs="Arial"/>
              </w:rPr>
            </w:pPr>
            <w:r>
              <w:rPr>
                <w:rFonts w:ascii="Calibri" w:hAnsi="Calibri"/>
                <w:color w:val="000000"/>
              </w:rPr>
              <w:t>Explains how knowledge may be constructed and acquired differently across cultures</w:t>
            </w:r>
          </w:p>
        </w:tc>
        <w:tc>
          <w:tcPr>
            <w:tcW w:w="2127" w:type="dxa"/>
            <w:vAlign w:val="center"/>
          </w:tcPr>
          <w:p w14:paraId="3D56F63C" w14:textId="493740CB" w:rsidR="000046CC" w:rsidRPr="000046CC" w:rsidRDefault="007153BA" w:rsidP="00732699">
            <w:pPr>
              <w:spacing w:line="276" w:lineRule="auto"/>
              <w:contextualSpacing/>
              <w:rPr>
                <w:rFonts w:cs="Arial"/>
              </w:rPr>
            </w:pPr>
            <w:r>
              <w:rPr>
                <w:rFonts w:cs="Arial"/>
              </w:rPr>
              <w:t>χ(1) = 1.049, p = .789</w:t>
            </w:r>
          </w:p>
        </w:tc>
        <w:tc>
          <w:tcPr>
            <w:tcW w:w="3492" w:type="dxa"/>
            <w:vAlign w:val="center"/>
          </w:tcPr>
          <w:p w14:paraId="4C312CFA" w14:textId="418863A1" w:rsidR="000046CC" w:rsidRPr="000046CC" w:rsidRDefault="007153BA" w:rsidP="007153BA">
            <w:pPr>
              <w:spacing w:line="276" w:lineRule="auto"/>
              <w:contextualSpacing/>
              <w:rPr>
                <w:rFonts w:cs="Arial"/>
              </w:rPr>
            </w:pPr>
            <w:r>
              <w:rPr>
                <w:rFonts w:cs="Arial"/>
              </w:rPr>
              <w:t>Generally even agreement/disagreement. No statistically significant differences between programmes.</w:t>
            </w:r>
          </w:p>
        </w:tc>
      </w:tr>
      <w:tr w:rsidR="000046CC" w:rsidRPr="000046CC" w14:paraId="20EF71F7" w14:textId="77777777" w:rsidTr="00E97200">
        <w:tc>
          <w:tcPr>
            <w:tcW w:w="3397" w:type="dxa"/>
            <w:vAlign w:val="center"/>
          </w:tcPr>
          <w:p w14:paraId="55810055" w14:textId="2004A192" w:rsidR="000046CC" w:rsidRPr="000046CC" w:rsidRDefault="000046CC" w:rsidP="007153BA">
            <w:pPr>
              <w:spacing w:line="276" w:lineRule="auto"/>
              <w:contextualSpacing/>
              <w:rPr>
                <w:rFonts w:cs="Arial"/>
              </w:rPr>
            </w:pPr>
            <w:r>
              <w:rPr>
                <w:rFonts w:ascii="Calibri" w:hAnsi="Calibri"/>
                <w:color w:val="000000"/>
              </w:rPr>
              <w:t>Compares and contrasts international and cross-cultural research findings</w:t>
            </w:r>
          </w:p>
        </w:tc>
        <w:tc>
          <w:tcPr>
            <w:tcW w:w="2127" w:type="dxa"/>
            <w:vAlign w:val="center"/>
          </w:tcPr>
          <w:p w14:paraId="50F6AC39" w14:textId="67BD88BB" w:rsidR="000046CC" w:rsidRPr="000046CC" w:rsidRDefault="000046CC" w:rsidP="00732699">
            <w:pPr>
              <w:spacing w:line="276" w:lineRule="auto"/>
              <w:contextualSpacing/>
              <w:rPr>
                <w:rFonts w:cs="Arial"/>
              </w:rPr>
            </w:pPr>
            <w:r w:rsidRPr="00AF210C">
              <w:rPr>
                <w:rFonts w:cs="Arial"/>
              </w:rPr>
              <w:t>χ(1) = 10.652, p = .014</w:t>
            </w:r>
            <w:r w:rsidR="00E74681">
              <w:rPr>
                <w:rFonts w:cs="Arial"/>
              </w:rPr>
              <w:t xml:space="preserve">, </w:t>
            </w:r>
            <w:r w:rsidRPr="00AF210C">
              <w:rPr>
                <w:rFonts w:cs="Arial"/>
                <w:noProof/>
                <w:lang w:eastAsia="en-GB"/>
              </w:rPr>
              <w:drawing>
                <wp:inline distT="0" distB="0" distL="0" distR="0" wp14:anchorId="0456789F" wp14:editId="045E1BA5">
                  <wp:extent cx="76200" cy="123825"/>
                  <wp:effectExtent l="0" t="0" r="0" b="9525"/>
                  <wp:docPr id="3" name="Picture 3" descr="http://yatani.jp/mimetex/mimetex.cgi?\small%20\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tani.jp/mimetex/mimetex.cgi?\small%20\p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sidRPr="00AF210C">
              <w:rPr>
                <w:rFonts w:cs="Arial"/>
              </w:rPr>
              <w:t>=.338</w:t>
            </w:r>
          </w:p>
        </w:tc>
        <w:tc>
          <w:tcPr>
            <w:tcW w:w="3492" w:type="dxa"/>
            <w:vAlign w:val="center"/>
          </w:tcPr>
          <w:p w14:paraId="2239DD67" w14:textId="6F7E25B9" w:rsidR="000046CC" w:rsidRPr="000046CC" w:rsidRDefault="00E74681" w:rsidP="007153BA">
            <w:pPr>
              <w:spacing w:line="276" w:lineRule="auto"/>
              <w:contextualSpacing/>
              <w:rPr>
                <w:rFonts w:cs="Arial"/>
              </w:rPr>
            </w:pPr>
            <w:r>
              <w:rPr>
                <w:rFonts w:cs="Arial"/>
              </w:rPr>
              <w:t>Much stronger agreement than disagreement in hospitality, much stronger disagreement than agreement in tourism, slightly more agreement than disagreement for both IBM programmes. Differences between programmes were statistically significant, but weak.</w:t>
            </w:r>
          </w:p>
        </w:tc>
      </w:tr>
      <w:tr w:rsidR="000046CC" w:rsidRPr="000046CC" w14:paraId="4F5568F6" w14:textId="77777777" w:rsidTr="00E97200">
        <w:tc>
          <w:tcPr>
            <w:tcW w:w="3397" w:type="dxa"/>
            <w:vAlign w:val="center"/>
          </w:tcPr>
          <w:p w14:paraId="5838AC8B" w14:textId="6CB72106" w:rsidR="000046CC" w:rsidRPr="000046CC" w:rsidRDefault="000046CC" w:rsidP="007153BA">
            <w:pPr>
              <w:spacing w:line="276" w:lineRule="auto"/>
              <w:contextualSpacing/>
              <w:rPr>
                <w:rFonts w:cs="Arial"/>
              </w:rPr>
            </w:pPr>
            <w:r>
              <w:rPr>
                <w:rFonts w:ascii="Calibri" w:hAnsi="Calibri"/>
                <w:color w:val="000000"/>
              </w:rPr>
              <w:t>Provides students with the opportunity to learn a foreign language as part of the programme</w:t>
            </w:r>
          </w:p>
        </w:tc>
        <w:tc>
          <w:tcPr>
            <w:tcW w:w="2127" w:type="dxa"/>
            <w:vAlign w:val="center"/>
          </w:tcPr>
          <w:p w14:paraId="11402F6F" w14:textId="3C2B8329" w:rsidR="000046CC" w:rsidRPr="000046CC" w:rsidRDefault="00732699" w:rsidP="009B7088">
            <w:pPr>
              <w:spacing w:line="276" w:lineRule="auto"/>
              <w:contextualSpacing/>
              <w:rPr>
                <w:rFonts w:cs="Arial"/>
              </w:rPr>
            </w:pPr>
            <w:r w:rsidRPr="00AF210C">
              <w:rPr>
                <w:rFonts w:cs="Arial"/>
              </w:rPr>
              <w:t>χ(1) =</w:t>
            </w:r>
            <w:r>
              <w:rPr>
                <w:rFonts w:cs="Arial"/>
              </w:rPr>
              <w:t>7.822</w:t>
            </w:r>
            <w:r w:rsidRPr="00AF210C">
              <w:rPr>
                <w:rFonts w:cs="Arial"/>
              </w:rPr>
              <w:t>, p = .0</w:t>
            </w:r>
            <w:r>
              <w:rPr>
                <w:rFonts w:cs="Arial"/>
              </w:rPr>
              <w:t xml:space="preserve">50, </w:t>
            </w:r>
            <w:r w:rsidRPr="00AF210C">
              <w:rPr>
                <w:rFonts w:cs="Arial"/>
                <w:noProof/>
                <w:lang w:eastAsia="en-GB"/>
              </w:rPr>
              <w:drawing>
                <wp:inline distT="0" distB="0" distL="0" distR="0" wp14:anchorId="35EF7D6C" wp14:editId="3FAB6CD4">
                  <wp:extent cx="76200" cy="123825"/>
                  <wp:effectExtent l="0" t="0" r="0" b="9525"/>
                  <wp:docPr id="9" name="Picture 9" descr="http://yatani.jp/mimetex/mimetex.cgi?\small%20\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tani.jp/mimetex/mimetex.cgi?\small%20\p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sidRPr="00AF210C">
              <w:rPr>
                <w:rFonts w:cs="Arial"/>
              </w:rPr>
              <w:t>=.</w:t>
            </w:r>
            <w:r>
              <w:rPr>
                <w:rFonts w:cs="Arial"/>
              </w:rPr>
              <w:t>307</w:t>
            </w:r>
          </w:p>
        </w:tc>
        <w:tc>
          <w:tcPr>
            <w:tcW w:w="3492" w:type="dxa"/>
            <w:vAlign w:val="center"/>
          </w:tcPr>
          <w:p w14:paraId="66686E1E" w14:textId="2F9D5AA5" w:rsidR="000046CC" w:rsidRPr="000046CC" w:rsidRDefault="00732699" w:rsidP="007153BA">
            <w:pPr>
              <w:spacing w:line="276" w:lineRule="auto"/>
              <w:contextualSpacing/>
              <w:rPr>
                <w:rFonts w:cs="Arial"/>
              </w:rPr>
            </w:pPr>
            <w:r>
              <w:t xml:space="preserve">Overall strong agreement that opportunities were given, although surprising levels of disagreement for what seems a simple point of fact. </w:t>
            </w:r>
            <w:r w:rsidR="009B7088">
              <w:rPr>
                <w:rFonts w:cs="Arial"/>
              </w:rPr>
              <w:t>Differences between programmes were statistically significant, but weak.</w:t>
            </w:r>
          </w:p>
        </w:tc>
      </w:tr>
      <w:tr w:rsidR="000046CC" w:rsidRPr="000046CC" w14:paraId="722A6111" w14:textId="77777777" w:rsidTr="00E97200">
        <w:tc>
          <w:tcPr>
            <w:tcW w:w="3397" w:type="dxa"/>
            <w:vAlign w:val="center"/>
          </w:tcPr>
          <w:p w14:paraId="35AE1526" w14:textId="487ACBDB" w:rsidR="000046CC" w:rsidRPr="000046CC" w:rsidRDefault="000046CC" w:rsidP="007153BA">
            <w:pPr>
              <w:spacing w:line="276" w:lineRule="auto"/>
              <w:contextualSpacing/>
              <w:rPr>
                <w:rFonts w:cs="Arial"/>
              </w:rPr>
            </w:pPr>
            <w:r>
              <w:rPr>
                <w:rFonts w:ascii="Calibri" w:hAnsi="Calibri"/>
                <w:color w:val="000000"/>
              </w:rPr>
              <w:t>Encourages students to study abroad and accredit their international learning experience</w:t>
            </w:r>
          </w:p>
        </w:tc>
        <w:tc>
          <w:tcPr>
            <w:tcW w:w="2127" w:type="dxa"/>
            <w:vAlign w:val="center"/>
          </w:tcPr>
          <w:p w14:paraId="726E1F3B" w14:textId="5640E5AA" w:rsidR="000046CC" w:rsidRPr="000046CC" w:rsidRDefault="00314F82" w:rsidP="00B77810">
            <w:pPr>
              <w:spacing w:line="276" w:lineRule="auto"/>
              <w:contextualSpacing/>
              <w:rPr>
                <w:rFonts w:cs="Arial"/>
              </w:rPr>
            </w:pPr>
            <w:r w:rsidRPr="00AF210C">
              <w:rPr>
                <w:rFonts w:cs="Arial"/>
              </w:rPr>
              <w:t>χ(1) = 6.034, p = .110</w:t>
            </w:r>
          </w:p>
        </w:tc>
        <w:tc>
          <w:tcPr>
            <w:tcW w:w="3492" w:type="dxa"/>
            <w:vAlign w:val="center"/>
          </w:tcPr>
          <w:p w14:paraId="05B0FEC4" w14:textId="785CFC94" w:rsidR="000046CC" w:rsidRPr="000046CC" w:rsidRDefault="00B77810" w:rsidP="007153BA">
            <w:pPr>
              <w:spacing w:line="276" w:lineRule="auto"/>
              <w:contextualSpacing/>
              <w:rPr>
                <w:rFonts w:cs="Arial"/>
              </w:rPr>
            </w:pPr>
            <w:r>
              <w:rPr>
                <w:rFonts w:cs="Arial"/>
              </w:rPr>
              <w:t>Complete agreement for IBM with languages, but very strong agreement for the other programmes means that these differences are not statistically significant.</w:t>
            </w:r>
          </w:p>
        </w:tc>
      </w:tr>
      <w:tr w:rsidR="000046CC" w:rsidRPr="000046CC" w14:paraId="656F52E1" w14:textId="77777777" w:rsidTr="00E97200">
        <w:tc>
          <w:tcPr>
            <w:tcW w:w="3397" w:type="dxa"/>
            <w:vAlign w:val="center"/>
          </w:tcPr>
          <w:p w14:paraId="5E3FC3DC" w14:textId="29EB60F5" w:rsidR="000046CC" w:rsidRPr="000046CC" w:rsidRDefault="000046CC" w:rsidP="007153BA">
            <w:pPr>
              <w:spacing w:line="276" w:lineRule="auto"/>
              <w:contextualSpacing/>
              <w:rPr>
                <w:rFonts w:cs="Arial"/>
              </w:rPr>
            </w:pPr>
            <w:r>
              <w:rPr>
                <w:rFonts w:ascii="Calibri" w:hAnsi="Calibri"/>
                <w:color w:val="000000"/>
              </w:rPr>
              <w:t>Draws on cross-cultural databases and sources of information (e.g. journals, websites, blogs)</w:t>
            </w:r>
          </w:p>
        </w:tc>
        <w:tc>
          <w:tcPr>
            <w:tcW w:w="2127" w:type="dxa"/>
            <w:vAlign w:val="center"/>
          </w:tcPr>
          <w:p w14:paraId="4F49BC04" w14:textId="6E294D9B" w:rsidR="000046CC" w:rsidRPr="000046CC" w:rsidRDefault="00314F82" w:rsidP="00B77810">
            <w:pPr>
              <w:spacing w:line="276" w:lineRule="auto"/>
              <w:contextualSpacing/>
              <w:rPr>
                <w:rFonts w:cs="Arial"/>
              </w:rPr>
            </w:pPr>
            <w:r w:rsidRPr="00AF210C">
              <w:rPr>
                <w:rFonts w:cs="Arial"/>
              </w:rPr>
              <w:t>χ(1) = 1.967, p = .579</w:t>
            </w:r>
          </w:p>
        </w:tc>
        <w:tc>
          <w:tcPr>
            <w:tcW w:w="3492" w:type="dxa"/>
            <w:vAlign w:val="center"/>
          </w:tcPr>
          <w:p w14:paraId="5ABED146" w14:textId="37115EE4" w:rsidR="000046CC" w:rsidRPr="000046CC" w:rsidRDefault="00B77810" w:rsidP="007153BA">
            <w:pPr>
              <w:spacing w:line="276" w:lineRule="auto"/>
              <w:contextualSpacing/>
              <w:rPr>
                <w:rFonts w:cs="Arial"/>
              </w:rPr>
            </w:pPr>
            <w:r>
              <w:rPr>
                <w:rFonts w:cs="Arial"/>
              </w:rPr>
              <w:t>Mild overall agreement with no statistically significant differences between programmes.</w:t>
            </w:r>
          </w:p>
        </w:tc>
      </w:tr>
      <w:tr w:rsidR="00F76916" w:rsidRPr="000046CC" w14:paraId="4E6A659F" w14:textId="77777777" w:rsidTr="00F76916">
        <w:tc>
          <w:tcPr>
            <w:tcW w:w="3397" w:type="dxa"/>
            <w:shd w:val="clear" w:color="auto" w:fill="D9D9D9" w:themeFill="background1" w:themeFillShade="D9"/>
            <w:vAlign w:val="center"/>
          </w:tcPr>
          <w:p w14:paraId="47D63ABA" w14:textId="444D3791" w:rsidR="00F76916" w:rsidRDefault="00F76916" w:rsidP="007153BA">
            <w:pPr>
              <w:spacing w:line="276" w:lineRule="auto"/>
              <w:contextualSpacing/>
              <w:rPr>
                <w:rFonts w:ascii="Calibri" w:hAnsi="Calibri"/>
                <w:color w:val="000000"/>
              </w:rPr>
            </w:pPr>
            <w:r>
              <w:rPr>
                <w:rFonts w:ascii="Calibri" w:hAnsi="Calibri"/>
                <w:color w:val="000000"/>
              </w:rPr>
              <w:t xml:space="preserve">Overall toolkit goal 1: </w:t>
            </w:r>
            <w:r w:rsidRPr="00F76916">
              <w:rPr>
                <w:rFonts w:ascii="Calibri" w:hAnsi="Calibri"/>
                <w:color w:val="000000"/>
              </w:rPr>
              <w:t xml:space="preserve">Curriculum content and design should include diverse perspectives on social, economic, political, environmental </w:t>
            </w:r>
            <w:r w:rsidRPr="00F76916">
              <w:rPr>
                <w:rFonts w:ascii="Calibri" w:hAnsi="Calibri"/>
                <w:color w:val="000000"/>
              </w:rPr>
              <w:lastRenderedPageBreak/>
              <w:t>and professional issues across cultures</w:t>
            </w:r>
          </w:p>
        </w:tc>
        <w:tc>
          <w:tcPr>
            <w:tcW w:w="2127" w:type="dxa"/>
            <w:shd w:val="clear" w:color="auto" w:fill="D9D9D9" w:themeFill="background1" w:themeFillShade="D9"/>
            <w:vAlign w:val="center"/>
          </w:tcPr>
          <w:p w14:paraId="0097BC21" w14:textId="70DEC7BA" w:rsidR="00F76916" w:rsidRPr="00AF210C" w:rsidRDefault="00371710" w:rsidP="00B77810">
            <w:pPr>
              <w:spacing w:line="276" w:lineRule="auto"/>
              <w:contextualSpacing/>
              <w:rPr>
                <w:rFonts w:cs="Arial"/>
              </w:rPr>
            </w:pPr>
            <w:r w:rsidRPr="00AF210C">
              <w:rPr>
                <w:rFonts w:cs="Arial"/>
              </w:rPr>
              <w:lastRenderedPageBreak/>
              <w:t>χ(1) =</w:t>
            </w:r>
            <w:r>
              <w:rPr>
                <w:rFonts w:cs="Arial"/>
              </w:rPr>
              <w:t>42.878</w:t>
            </w:r>
            <w:r w:rsidRPr="00AF210C">
              <w:rPr>
                <w:rFonts w:cs="Arial"/>
              </w:rPr>
              <w:t>, p = .0</w:t>
            </w:r>
            <w:r>
              <w:rPr>
                <w:rFonts w:cs="Arial"/>
              </w:rPr>
              <w:t xml:space="preserve">10, </w:t>
            </w:r>
            <w:r w:rsidRPr="00AF210C">
              <w:rPr>
                <w:rFonts w:cs="Arial"/>
                <w:noProof/>
                <w:lang w:eastAsia="en-GB"/>
              </w:rPr>
              <w:drawing>
                <wp:inline distT="0" distB="0" distL="0" distR="0" wp14:anchorId="4127705B" wp14:editId="210E300C">
                  <wp:extent cx="76200" cy="123825"/>
                  <wp:effectExtent l="0" t="0" r="0" b="9525"/>
                  <wp:docPr id="10" name="Picture 10" descr="http://yatani.jp/mimetex/mimetex.cgi?\small%20\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tani.jp/mimetex/mimetex.cgi?\small%20\p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sidRPr="00AF210C">
              <w:rPr>
                <w:rFonts w:cs="Arial"/>
              </w:rPr>
              <w:t>=.</w:t>
            </w:r>
            <w:r>
              <w:rPr>
                <w:rFonts w:cs="Arial"/>
              </w:rPr>
              <w:t>378</w:t>
            </w:r>
          </w:p>
        </w:tc>
        <w:tc>
          <w:tcPr>
            <w:tcW w:w="3492" w:type="dxa"/>
            <w:shd w:val="clear" w:color="auto" w:fill="D9D9D9" w:themeFill="background1" w:themeFillShade="D9"/>
            <w:vAlign w:val="center"/>
          </w:tcPr>
          <w:p w14:paraId="5818E733" w14:textId="0BCCCD75" w:rsidR="00F76916" w:rsidRDefault="00371710" w:rsidP="007153BA">
            <w:pPr>
              <w:spacing w:line="276" w:lineRule="auto"/>
              <w:contextualSpacing/>
              <w:rPr>
                <w:rFonts w:cs="Arial"/>
              </w:rPr>
            </w:pPr>
            <w:r>
              <w:rPr>
                <w:rFonts w:cs="Arial"/>
              </w:rPr>
              <w:t>Overall moderate agreement, slightly less agreement for IBM.</w:t>
            </w:r>
          </w:p>
        </w:tc>
      </w:tr>
      <w:tr w:rsidR="000046CC" w:rsidRPr="000046CC" w14:paraId="5E92CA12" w14:textId="77777777" w:rsidTr="00E97200">
        <w:tc>
          <w:tcPr>
            <w:tcW w:w="3397" w:type="dxa"/>
            <w:vAlign w:val="center"/>
          </w:tcPr>
          <w:p w14:paraId="6446DAFB" w14:textId="45F36D06" w:rsidR="000046CC" w:rsidRPr="000046CC" w:rsidRDefault="000046CC" w:rsidP="007153BA">
            <w:pPr>
              <w:spacing w:line="276" w:lineRule="auto"/>
              <w:contextualSpacing/>
              <w:rPr>
                <w:rFonts w:cs="Arial"/>
              </w:rPr>
            </w:pPr>
            <w:r>
              <w:rPr>
                <w:rFonts w:ascii="Calibri" w:hAnsi="Calibri"/>
                <w:color w:val="000000"/>
              </w:rPr>
              <w:t>Integrates global issues and cross-cultural perspectives into learning activities at all stages of the programme</w:t>
            </w:r>
          </w:p>
        </w:tc>
        <w:tc>
          <w:tcPr>
            <w:tcW w:w="2127" w:type="dxa"/>
            <w:vAlign w:val="center"/>
          </w:tcPr>
          <w:p w14:paraId="0D4BCBA5" w14:textId="0C07A657" w:rsidR="000046CC" w:rsidRPr="000046CC" w:rsidRDefault="00B77810" w:rsidP="00B77810">
            <w:pPr>
              <w:spacing w:line="276" w:lineRule="auto"/>
              <w:contextualSpacing/>
              <w:rPr>
                <w:rFonts w:cs="Arial"/>
              </w:rPr>
            </w:pPr>
            <w:r w:rsidRPr="00AF210C">
              <w:rPr>
                <w:rFonts w:cs="Arial"/>
              </w:rPr>
              <w:t>χ</w:t>
            </w:r>
            <w:r w:rsidR="00314F82" w:rsidRPr="00AF210C">
              <w:rPr>
                <w:rFonts w:cs="Arial"/>
              </w:rPr>
              <w:t>(1) = 1.857, p = .603</w:t>
            </w:r>
          </w:p>
        </w:tc>
        <w:tc>
          <w:tcPr>
            <w:tcW w:w="3492" w:type="dxa"/>
            <w:vAlign w:val="center"/>
          </w:tcPr>
          <w:p w14:paraId="2FD0211B" w14:textId="195C2DAA" w:rsidR="000046CC" w:rsidRPr="000046CC" w:rsidRDefault="00B77810" w:rsidP="007153BA">
            <w:pPr>
              <w:spacing w:line="276" w:lineRule="auto"/>
              <w:contextualSpacing/>
              <w:rPr>
                <w:rFonts w:cs="Arial"/>
              </w:rPr>
            </w:pPr>
            <w:r>
              <w:rPr>
                <w:rFonts w:cs="Arial"/>
              </w:rPr>
              <w:t>Strong overall agreement with no statistically significant differences between programmes.</w:t>
            </w:r>
          </w:p>
        </w:tc>
      </w:tr>
      <w:tr w:rsidR="00B77810" w:rsidRPr="000046CC" w14:paraId="2CD8703F" w14:textId="77777777" w:rsidTr="00E97200">
        <w:tc>
          <w:tcPr>
            <w:tcW w:w="3397" w:type="dxa"/>
            <w:vAlign w:val="center"/>
          </w:tcPr>
          <w:p w14:paraId="291C3131" w14:textId="26AA46BD" w:rsidR="00B77810" w:rsidRPr="000046CC" w:rsidRDefault="00B77810" w:rsidP="00B77810">
            <w:pPr>
              <w:spacing w:line="276" w:lineRule="auto"/>
              <w:contextualSpacing/>
              <w:rPr>
                <w:rFonts w:cs="Arial"/>
              </w:rPr>
            </w:pPr>
            <w:r>
              <w:rPr>
                <w:rFonts w:ascii="Calibri" w:hAnsi="Calibri"/>
                <w:color w:val="000000"/>
              </w:rPr>
              <w:t>Asks students to consider issues and solve problems from a wide variety of social, economic, political, religious, ethical and cultural perspectives</w:t>
            </w:r>
          </w:p>
        </w:tc>
        <w:tc>
          <w:tcPr>
            <w:tcW w:w="2127" w:type="dxa"/>
            <w:vAlign w:val="center"/>
          </w:tcPr>
          <w:p w14:paraId="3997F75F" w14:textId="2FD9048E" w:rsidR="00B77810" w:rsidRPr="000046CC" w:rsidRDefault="00B77810" w:rsidP="00B77810">
            <w:pPr>
              <w:autoSpaceDE w:val="0"/>
              <w:autoSpaceDN w:val="0"/>
              <w:adjustRightInd w:val="0"/>
              <w:spacing w:line="276" w:lineRule="auto"/>
              <w:contextualSpacing/>
              <w:rPr>
                <w:rFonts w:cs="Arial"/>
              </w:rPr>
            </w:pPr>
            <w:r w:rsidRPr="00AF210C">
              <w:rPr>
                <w:rFonts w:cs="Arial"/>
              </w:rPr>
              <w:t>χ(1) = 0.752, p = .861</w:t>
            </w:r>
          </w:p>
        </w:tc>
        <w:tc>
          <w:tcPr>
            <w:tcW w:w="3492" w:type="dxa"/>
            <w:vAlign w:val="center"/>
          </w:tcPr>
          <w:p w14:paraId="15F9D7CC" w14:textId="42027A2B" w:rsidR="00B77810" w:rsidRPr="000046CC" w:rsidRDefault="00B77810" w:rsidP="00B77810">
            <w:pPr>
              <w:spacing w:line="276" w:lineRule="auto"/>
              <w:contextualSpacing/>
              <w:rPr>
                <w:rFonts w:cs="Arial"/>
              </w:rPr>
            </w:pPr>
            <w:r>
              <w:rPr>
                <w:rFonts w:cs="Arial"/>
              </w:rPr>
              <w:t>Moderate to strong overall agreement with no statistically significant differences between programmes.</w:t>
            </w:r>
          </w:p>
        </w:tc>
      </w:tr>
      <w:tr w:rsidR="00B77810" w:rsidRPr="000046CC" w14:paraId="664A90A3" w14:textId="77777777" w:rsidTr="00E97200">
        <w:tc>
          <w:tcPr>
            <w:tcW w:w="3397" w:type="dxa"/>
            <w:vAlign w:val="center"/>
          </w:tcPr>
          <w:p w14:paraId="22E75748" w14:textId="6D68860B" w:rsidR="00B77810" w:rsidRPr="000046CC" w:rsidRDefault="00B77810" w:rsidP="00B77810">
            <w:pPr>
              <w:spacing w:line="276" w:lineRule="auto"/>
              <w:contextualSpacing/>
              <w:rPr>
                <w:rFonts w:cs="Arial"/>
              </w:rPr>
            </w:pPr>
            <w:r>
              <w:rPr>
                <w:rFonts w:ascii="Calibri" w:hAnsi="Calibri"/>
                <w:color w:val="000000"/>
              </w:rPr>
              <w:t>Encourages students from different backgrounds to contribute relevant examples from their home country or community</w:t>
            </w:r>
          </w:p>
        </w:tc>
        <w:tc>
          <w:tcPr>
            <w:tcW w:w="2127" w:type="dxa"/>
            <w:vAlign w:val="center"/>
          </w:tcPr>
          <w:p w14:paraId="200C2752" w14:textId="16542795" w:rsidR="00B77810" w:rsidRPr="000046CC" w:rsidRDefault="00B77810" w:rsidP="00BE367B">
            <w:pPr>
              <w:autoSpaceDE w:val="0"/>
              <w:autoSpaceDN w:val="0"/>
              <w:adjustRightInd w:val="0"/>
              <w:spacing w:line="276" w:lineRule="auto"/>
              <w:contextualSpacing/>
              <w:rPr>
                <w:rFonts w:cs="Arial"/>
              </w:rPr>
            </w:pPr>
            <w:r w:rsidRPr="00AF210C">
              <w:rPr>
                <w:rFonts w:cs="Arial"/>
              </w:rPr>
              <w:t>χ(1) = 1.886, p = .596</w:t>
            </w:r>
          </w:p>
        </w:tc>
        <w:tc>
          <w:tcPr>
            <w:tcW w:w="3492" w:type="dxa"/>
            <w:vAlign w:val="center"/>
          </w:tcPr>
          <w:p w14:paraId="0D4D372E" w14:textId="70916ECA" w:rsidR="00B77810" w:rsidRPr="000046CC" w:rsidRDefault="00BE367B" w:rsidP="00B77810">
            <w:pPr>
              <w:spacing w:line="276" w:lineRule="auto"/>
              <w:contextualSpacing/>
              <w:rPr>
                <w:rFonts w:cs="Arial"/>
              </w:rPr>
            </w:pPr>
            <w:r>
              <w:rPr>
                <w:rFonts w:cs="Arial"/>
              </w:rPr>
              <w:t>Moderate to strong overall agreement with no statistically significant differences between programmes.</w:t>
            </w:r>
          </w:p>
        </w:tc>
      </w:tr>
      <w:tr w:rsidR="00B77810" w:rsidRPr="000046CC" w14:paraId="11651909" w14:textId="77777777" w:rsidTr="00E97200">
        <w:tc>
          <w:tcPr>
            <w:tcW w:w="3397" w:type="dxa"/>
            <w:vAlign w:val="center"/>
          </w:tcPr>
          <w:p w14:paraId="41122E57" w14:textId="5DEB357A" w:rsidR="00B77810" w:rsidRPr="000046CC" w:rsidRDefault="00B77810" w:rsidP="00B77810">
            <w:pPr>
              <w:spacing w:line="276" w:lineRule="auto"/>
              <w:contextualSpacing/>
              <w:rPr>
                <w:rFonts w:cs="Arial"/>
              </w:rPr>
            </w:pPr>
            <w:r>
              <w:rPr>
                <w:rFonts w:ascii="Calibri" w:hAnsi="Calibri"/>
                <w:color w:val="000000"/>
              </w:rPr>
              <w:t xml:space="preserve">Uses fieldwork with local organisations working on international projects  </w:t>
            </w:r>
          </w:p>
        </w:tc>
        <w:tc>
          <w:tcPr>
            <w:tcW w:w="2127" w:type="dxa"/>
            <w:vAlign w:val="center"/>
          </w:tcPr>
          <w:p w14:paraId="7188959F" w14:textId="44783AB0" w:rsidR="00B77810" w:rsidRPr="000046CC" w:rsidRDefault="00B77810" w:rsidP="00BE367B">
            <w:pPr>
              <w:autoSpaceDE w:val="0"/>
              <w:autoSpaceDN w:val="0"/>
              <w:adjustRightInd w:val="0"/>
              <w:spacing w:line="276" w:lineRule="auto"/>
              <w:contextualSpacing/>
              <w:rPr>
                <w:rFonts w:cs="Arial"/>
              </w:rPr>
            </w:pPr>
            <w:r w:rsidRPr="00AF210C">
              <w:rPr>
                <w:rFonts w:cs="Arial"/>
              </w:rPr>
              <w:t>χ(1) = 4.455, p = .216</w:t>
            </w:r>
          </w:p>
        </w:tc>
        <w:tc>
          <w:tcPr>
            <w:tcW w:w="3492" w:type="dxa"/>
            <w:vAlign w:val="center"/>
          </w:tcPr>
          <w:p w14:paraId="1FE0E2AF" w14:textId="3EE25F8F" w:rsidR="00B77810" w:rsidRPr="000046CC" w:rsidRDefault="00BE367B" w:rsidP="00B77810">
            <w:pPr>
              <w:spacing w:line="276" w:lineRule="auto"/>
              <w:contextualSpacing/>
              <w:rPr>
                <w:rFonts w:cs="Arial"/>
              </w:rPr>
            </w:pPr>
            <w:r>
              <w:rPr>
                <w:rFonts w:cs="Arial"/>
              </w:rPr>
              <w:t>Mild overall disagreement with no statistically significant differences between programmes.</w:t>
            </w:r>
          </w:p>
        </w:tc>
      </w:tr>
      <w:tr w:rsidR="00B77810" w:rsidRPr="000046CC" w14:paraId="78860996" w14:textId="77777777" w:rsidTr="00E97200">
        <w:tc>
          <w:tcPr>
            <w:tcW w:w="3397" w:type="dxa"/>
            <w:vAlign w:val="center"/>
          </w:tcPr>
          <w:p w14:paraId="509213D1" w14:textId="236F6F4D" w:rsidR="00B77810" w:rsidRPr="000046CC" w:rsidRDefault="00B77810" w:rsidP="00B77810">
            <w:pPr>
              <w:spacing w:line="276" w:lineRule="auto"/>
              <w:contextualSpacing/>
              <w:rPr>
                <w:rFonts w:cs="Arial"/>
              </w:rPr>
            </w:pPr>
            <w:r>
              <w:rPr>
                <w:rFonts w:ascii="Calibri" w:hAnsi="Calibri"/>
                <w:color w:val="000000"/>
              </w:rPr>
              <w:t>Creates a safe, non-threatening learning environment in which students can express their own views while respecting those of other students and staff</w:t>
            </w:r>
          </w:p>
        </w:tc>
        <w:tc>
          <w:tcPr>
            <w:tcW w:w="2127" w:type="dxa"/>
            <w:vAlign w:val="center"/>
          </w:tcPr>
          <w:p w14:paraId="0F0F0B5A" w14:textId="2EE03696" w:rsidR="00B77810" w:rsidRPr="000046CC" w:rsidRDefault="00B77810" w:rsidP="00BE367B">
            <w:pPr>
              <w:autoSpaceDE w:val="0"/>
              <w:autoSpaceDN w:val="0"/>
              <w:adjustRightInd w:val="0"/>
              <w:spacing w:line="276" w:lineRule="auto"/>
              <w:contextualSpacing/>
              <w:rPr>
                <w:rFonts w:cs="Arial"/>
              </w:rPr>
            </w:pPr>
            <w:r w:rsidRPr="00AF210C">
              <w:rPr>
                <w:rFonts w:cs="Arial"/>
              </w:rPr>
              <w:t>χ(1) = 6.385, p = .094</w:t>
            </w:r>
          </w:p>
        </w:tc>
        <w:tc>
          <w:tcPr>
            <w:tcW w:w="3492" w:type="dxa"/>
            <w:vAlign w:val="center"/>
          </w:tcPr>
          <w:p w14:paraId="4F3327AD" w14:textId="659DBA74" w:rsidR="00B77810" w:rsidRPr="000046CC" w:rsidRDefault="00BE367B" w:rsidP="00B77810">
            <w:pPr>
              <w:spacing w:line="276" w:lineRule="auto"/>
              <w:contextualSpacing/>
              <w:rPr>
                <w:rFonts w:cs="Arial"/>
              </w:rPr>
            </w:pPr>
            <w:r>
              <w:rPr>
                <w:rFonts w:cs="Arial"/>
              </w:rPr>
              <w:t>Very strong overall agreement with no statistically significant differences between programmes.</w:t>
            </w:r>
          </w:p>
        </w:tc>
      </w:tr>
      <w:tr w:rsidR="00B77810" w:rsidRPr="000046CC" w14:paraId="6B710E4B" w14:textId="77777777" w:rsidTr="00E97200">
        <w:tc>
          <w:tcPr>
            <w:tcW w:w="3397" w:type="dxa"/>
            <w:vAlign w:val="center"/>
          </w:tcPr>
          <w:p w14:paraId="289F37FD" w14:textId="223476BB" w:rsidR="00B77810" w:rsidRPr="000046CC" w:rsidRDefault="00B77810" w:rsidP="00B77810">
            <w:pPr>
              <w:spacing w:line="276" w:lineRule="auto"/>
              <w:contextualSpacing/>
              <w:rPr>
                <w:rFonts w:cs="Arial"/>
              </w:rPr>
            </w:pPr>
            <w:r>
              <w:rPr>
                <w:rFonts w:ascii="Calibri" w:hAnsi="Calibri"/>
                <w:color w:val="000000"/>
              </w:rPr>
              <w:t xml:space="preserve">Facilitates collaborative learning activities between students from </w:t>
            </w:r>
            <w:r w:rsidR="00BE367B">
              <w:rPr>
                <w:rFonts w:ascii="Calibri" w:hAnsi="Calibri"/>
                <w:color w:val="000000"/>
              </w:rPr>
              <w:t>different</w:t>
            </w:r>
            <w:r>
              <w:rPr>
                <w:rFonts w:ascii="Calibri" w:hAnsi="Calibri"/>
                <w:color w:val="000000"/>
              </w:rPr>
              <w:t xml:space="preserve"> cultural backgrounds</w:t>
            </w:r>
          </w:p>
        </w:tc>
        <w:tc>
          <w:tcPr>
            <w:tcW w:w="2127" w:type="dxa"/>
            <w:vAlign w:val="center"/>
          </w:tcPr>
          <w:p w14:paraId="7F33A44C" w14:textId="6856B19A" w:rsidR="00B77810" w:rsidRPr="000046CC" w:rsidRDefault="00BE367B" w:rsidP="00BE367B">
            <w:pPr>
              <w:autoSpaceDE w:val="0"/>
              <w:autoSpaceDN w:val="0"/>
              <w:adjustRightInd w:val="0"/>
              <w:spacing w:line="276" w:lineRule="auto"/>
              <w:contextualSpacing/>
              <w:rPr>
                <w:rFonts w:cs="Arial"/>
              </w:rPr>
            </w:pPr>
            <w:r>
              <w:rPr>
                <w:rFonts w:cs="Arial"/>
              </w:rPr>
              <w:t>χ(1) = 2.705, p = .439</w:t>
            </w:r>
          </w:p>
        </w:tc>
        <w:tc>
          <w:tcPr>
            <w:tcW w:w="3492" w:type="dxa"/>
            <w:vAlign w:val="center"/>
          </w:tcPr>
          <w:p w14:paraId="7B32EB12" w14:textId="3DBCB915" w:rsidR="00B77810" w:rsidRPr="000046CC" w:rsidRDefault="00BE367B" w:rsidP="00B77810">
            <w:pPr>
              <w:spacing w:line="276" w:lineRule="auto"/>
              <w:contextualSpacing/>
              <w:rPr>
                <w:rFonts w:cs="Arial"/>
              </w:rPr>
            </w:pPr>
            <w:r>
              <w:rPr>
                <w:rFonts w:cs="Arial"/>
              </w:rPr>
              <w:t>Moderate to strong overall agreement with no statistically significant differences between programmes.</w:t>
            </w:r>
          </w:p>
        </w:tc>
      </w:tr>
      <w:tr w:rsidR="00B77810" w:rsidRPr="000046CC" w14:paraId="28FDEBD5" w14:textId="77777777" w:rsidTr="00E97200">
        <w:tc>
          <w:tcPr>
            <w:tcW w:w="3397" w:type="dxa"/>
            <w:vAlign w:val="center"/>
          </w:tcPr>
          <w:p w14:paraId="7D3623CD" w14:textId="1A0AA2EA" w:rsidR="00B77810" w:rsidRPr="000046CC" w:rsidRDefault="00B77810" w:rsidP="00B77810">
            <w:pPr>
              <w:spacing w:line="276" w:lineRule="auto"/>
              <w:contextualSpacing/>
              <w:rPr>
                <w:rFonts w:cs="Arial"/>
              </w:rPr>
            </w:pPr>
            <w:r>
              <w:rPr>
                <w:rFonts w:ascii="Calibri" w:hAnsi="Calibri"/>
                <w:color w:val="000000"/>
              </w:rPr>
              <w:t xml:space="preserve">Uses team tasks which require students to work with peers from </w:t>
            </w:r>
            <w:r w:rsidR="00BE367B">
              <w:rPr>
                <w:rFonts w:ascii="Calibri" w:hAnsi="Calibri"/>
                <w:color w:val="000000"/>
              </w:rPr>
              <w:t>different</w:t>
            </w:r>
            <w:r>
              <w:rPr>
                <w:rFonts w:ascii="Calibri" w:hAnsi="Calibri"/>
                <w:color w:val="000000"/>
              </w:rPr>
              <w:t xml:space="preserve"> countries or cultures either face to face or by using technology and/or blended learning</w:t>
            </w:r>
          </w:p>
        </w:tc>
        <w:tc>
          <w:tcPr>
            <w:tcW w:w="2127" w:type="dxa"/>
            <w:vAlign w:val="center"/>
          </w:tcPr>
          <w:p w14:paraId="210875AC" w14:textId="62868E95" w:rsidR="00B77810" w:rsidRPr="000046CC" w:rsidRDefault="003E7C31" w:rsidP="003E7C31">
            <w:pPr>
              <w:autoSpaceDE w:val="0"/>
              <w:autoSpaceDN w:val="0"/>
              <w:adjustRightInd w:val="0"/>
              <w:spacing w:line="276" w:lineRule="auto"/>
              <w:contextualSpacing/>
              <w:rPr>
                <w:rFonts w:cs="Arial"/>
              </w:rPr>
            </w:pPr>
            <w:r>
              <w:rPr>
                <w:rFonts w:cs="Arial"/>
              </w:rPr>
              <w:t>χ(1) = 4.840, p = .184</w:t>
            </w:r>
          </w:p>
        </w:tc>
        <w:tc>
          <w:tcPr>
            <w:tcW w:w="3492" w:type="dxa"/>
            <w:vAlign w:val="center"/>
          </w:tcPr>
          <w:p w14:paraId="5C97073F" w14:textId="626D1F23" w:rsidR="00B77810" w:rsidRPr="000046CC" w:rsidRDefault="003E7C31" w:rsidP="00B77810">
            <w:pPr>
              <w:spacing w:line="276" w:lineRule="auto"/>
              <w:contextualSpacing/>
              <w:rPr>
                <w:rFonts w:cs="Arial"/>
              </w:rPr>
            </w:pPr>
            <w:r>
              <w:rPr>
                <w:rFonts w:cs="Arial"/>
              </w:rPr>
              <w:t>Very strong overall agreement with no statistically significant differences between programmes.</w:t>
            </w:r>
          </w:p>
        </w:tc>
      </w:tr>
      <w:tr w:rsidR="00F76916" w:rsidRPr="000046CC" w14:paraId="581FE962" w14:textId="77777777" w:rsidTr="00F76916">
        <w:tc>
          <w:tcPr>
            <w:tcW w:w="3397" w:type="dxa"/>
            <w:shd w:val="clear" w:color="auto" w:fill="D9D9D9" w:themeFill="background1" w:themeFillShade="D9"/>
            <w:vAlign w:val="center"/>
          </w:tcPr>
          <w:p w14:paraId="1A7AF57D" w14:textId="1B2C3CBF" w:rsidR="00F76916" w:rsidRDefault="00F76916" w:rsidP="00B77810">
            <w:pPr>
              <w:spacing w:line="276" w:lineRule="auto"/>
              <w:contextualSpacing/>
              <w:rPr>
                <w:rFonts w:ascii="Calibri" w:hAnsi="Calibri"/>
                <w:color w:val="000000"/>
              </w:rPr>
            </w:pPr>
            <w:r>
              <w:rPr>
                <w:rFonts w:ascii="Calibri" w:hAnsi="Calibri"/>
                <w:color w:val="000000"/>
              </w:rPr>
              <w:t>Overall toolkit g</w:t>
            </w:r>
            <w:r w:rsidRPr="00F76916">
              <w:rPr>
                <w:rFonts w:ascii="Calibri" w:hAnsi="Calibri"/>
                <w:color w:val="000000"/>
              </w:rPr>
              <w:t>oal 2: Staff should use a wide range of learning and teaching strategies that are specifically designed to incorporate the knowledge and understanding of students from diverse cultural backgrounds and to develop graduates who demonstrate international perspectives as professionals and citizens</w:t>
            </w:r>
          </w:p>
        </w:tc>
        <w:tc>
          <w:tcPr>
            <w:tcW w:w="2127" w:type="dxa"/>
            <w:shd w:val="clear" w:color="auto" w:fill="D9D9D9" w:themeFill="background1" w:themeFillShade="D9"/>
            <w:vAlign w:val="center"/>
          </w:tcPr>
          <w:p w14:paraId="7A2873DB" w14:textId="17062F3E" w:rsidR="00F76916" w:rsidRDefault="00371710" w:rsidP="003E7C31">
            <w:pPr>
              <w:autoSpaceDE w:val="0"/>
              <w:autoSpaceDN w:val="0"/>
              <w:adjustRightInd w:val="0"/>
              <w:spacing w:line="276" w:lineRule="auto"/>
              <w:contextualSpacing/>
              <w:rPr>
                <w:rFonts w:cs="Arial"/>
              </w:rPr>
            </w:pPr>
            <w:r w:rsidRPr="00AF210C">
              <w:rPr>
                <w:rFonts w:cs="Arial"/>
              </w:rPr>
              <w:t>χ(1) =</w:t>
            </w:r>
            <w:r>
              <w:rPr>
                <w:rFonts w:cs="Arial"/>
              </w:rPr>
              <w:t>29.166</w:t>
            </w:r>
            <w:r w:rsidRPr="00AF210C">
              <w:rPr>
                <w:rFonts w:cs="Arial"/>
              </w:rPr>
              <w:t>, p = .</w:t>
            </w:r>
            <w:r>
              <w:rPr>
                <w:rFonts w:cs="Arial"/>
              </w:rPr>
              <w:t>659</w:t>
            </w:r>
          </w:p>
        </w:tc>
        <w:tc>
          <w:tcPr>
            <w:tcW w:w="3492" w:type="dxa"/>
            <w:shd w:val="clear" w:color="auto" w:fill="D9D9D9" w:themeFill="background1" w:themeFillShade="D9"/>
            <w:vAlign w:val="center"/>
          </w:tcPr>
          <w:p w14:paraId="7CF18247" w14:textId="4DEDC600" w:rsidR="00F76916" w:rsidRDefault="00371710" w:rsidP="00B77810">
            <w:pPr>
              <w:spacing w:line="276" w:lineRule="auto"/>
              <w:contextualSpacing/>
              <w:rPr>
                <w:rFonts w:cs="Arial"/>
              </w:rPr>
            </w:pPr>
            <w:r>
              <w:rPr>
                <w:rFonts w:cs="Arial"/>
              </w:rPr>
              <w:t>Strong overall agreement with no statistically significant differences between programmes.</w:t>
            </w:r>
          </w:p>
        </w:tc>
      </w:tr>
      <w:tr w:rsidR="00B77810" w:rsidRPr="000046CC" w14:paraId="31C75FFB" w14:textId="77777777" w:rsidTr="00E97200">
        <w:tc>
          <w:tcPr>
            <w:tcW w:w="3397" w:type="dxa"/>
            <w:vAlign w:val="center"/>
          </w:tcPr>
          <w:p w14:paraId="6025CF67" w14:textId="49E7F440" w:rsidR="00B77810" w:rsidRPr="000046CC" w:rsidRDefault="00B77810" w:rsidP="00B77810">
            <w:pPr>
              <w:spacing w:line="276" w:lineRule="auto"/>
              <w:contextualSpacing/>
              <w:rPr>
                <w:rFonts w:cs="Arial"/>
              </w:rPr>
            </w:pPr>
            <w:r>
              <w:rPr>
                <w:rFonts w:ascii="Calibri" w:hAnsi="Calibri"/>
                <w:color w:val="000000"/>
              </w:rPr>
              <w:lastRenderedPageBreak/>
              <w:t>Offers assessment tasks that specifically relate to the development of global and cross-cultural perspectives</w:t>
            </w:r>
          </w:p>
        </w:tc>
        <w:tc>
          <w:tcPr>
            <w:tcW w:w="2127" w:type="dxa"/>
            <w:vAlign w:val="center"/>
          </w:tcPr>
          <w:p w14:paraId="2592839A" w14:textId="603B7A47" w:rsidR="00B77810" w:rsidRPr="000046CC" w:rsidRDefault="00B77810" w:rsidP="0072411C">
            <w:pPr>
              <w:autoSpaceDE w:val="0"/>
              <w:autoSpaceDN w:val="0"/>
              <w:adjustRightInd w:val="0"/>
              <w:spacing w:line="276" w:lineRule="auto"/>
              <w:contextualSpacing/>
              <w:rPr>
                <w:rFonts w:cs="Arial"/>
              </w:rPr>
            </w:pPr>
            <w:r w:rsidRPr="00AF210C">
              <w:rPr>
                <w:rFonts w:cs="Arial"/>
              </w:rPr>
              <w:t>χ(1) = 0.774, p = .856</w:t>
            </w:r>
          </w:p>
        </w:tc>
        <w:tc>
          <w:tcPr>
            <w:tcW w:w="3492" w:type="dxa"/>
            <w:vAlign w:val="center"/>
          </w:tcPr>
          <w:p w14:paraId="00CF74FB" w14:textId="718CE76C" w:rsidR="00B77810" w:rsidRPr="000046CC" w:rsidRDefault="0072411C" w:rsidP="00B77810">
            <w:pPr>
              <w:spacing w:line="276" w:lineRule="auto"/>
              <w:contextualSpacing/>
              <w:rPr>
                <w:rFonts w:cs="Arial"/>
              </w:rPr>
            </w:pPr>
            <w:r>
              <w:rPr>
                <w:rFonts w:cs="Arial"/>
              </w:rPr>
              <w:t>Moderate overall agreement with no statistically significant differences between programmes.</w:t>
            </w:r>
          </w:p>
        </w:tc>
      </w:tr>
      <w:tr w:rsidR="00B77810" w:rsidRPr="000046CC" w14:paraId="61880150" w14:textId="77777777" w:rsidTr="00E97200">
        <w:tc>
          <w:tcPr>
            <w:tcW w:w="3397" w:type="dxa"/>
            <w:vAlign w:val="center"/>
          </w:tcPr>
          <w:p w14:paraId="3F8C47FB" w14:textId="62920C19" w:rsidR="00B77810" w:rsidRPr="000046CC" w:rsidRDefault="00B77810" w:rsidP="00B77810">
            <w:pPr>
              <w:spacing w:line="276" w:lineRule="auto"/>
              <w:contextualSpacing/>
              <w:rPr>
                <w:rFonts w:cs="Arial"/>
              </w:rPr>
            </w:pPr>
            <w:r>
              <w:rPr>
                <w:rFonts w:ascii="Calibri" w:hAnsi="Calibri"/>
                <w:color w:val="000000"/>
              </w:rPr>
              <w:t>Makes the criteria for such assessment explicit to the students</w:t>
            </w:r>
          </w:p>
        </w:tc>
        <w:tc>
          <w:tcPr>
            <w:tcW w:w="2127" w:type="dxa"/>
            <w:vAlign w:val="center"/>
          </w:tcPr>
          <w:p w14:paraId="03B23B5C" w14:textId="55688073" w:rsidR="00B77810" w:rsidRPr="000046CC" w:rsidRDefault="00B77810" w:rsidP="0072411C">
            <w:pPr>
              <w:autoSpaceDE w:val="0"/>
              <w:autoSpaceDN w:val="0"/>
              <w:adjustRightInd w:val="0"/>
              <w:spacing w:line="276" w:lineRule="auto"/>
              <w:contextualSpacing/>
              <w:rPr>
                <w:rFonts w:cs="Arial"/>
              </w:rPr>
            </w:pPr>
            <w:r w:rsidRPr="00AF210C">
              <w:rPr>
                <w:rFonts w:cs="Arial"/>
              </w:rPr>
              <w:t>χ(1) = 4.043, p = .257</w:t>
            </w:r>
          </w:p>
        </w:tc>
        <w:tc>
          <w:tcPr>
            <w:tcW w:w="3492" w:type="dxa"/>
            <w:vAlign w:val="center"/>
          </w:tcPr>
          <w:p w14:paraId="679BDD5C" w14:textId="6E12B768" w:rsidR="00B77810" w:rsidRPr="000046CC" w:rsidRDefault="0072411C" w:rsidP="00B77810">
            <w:pPr>
              <w:spacing w:line="276" w:lineRule="auto"/>
              <w:contextualSpacing/>
              <w:rPr>
                <w:rFonts w:cs="Arial"/>
              </w:rPr>
            </w:pPr>
            <w:r>
              <w:rPr>
                <w:rFonts w:cs="Arial"/>
              </w:rPr>
              <w:t xml:space="preserve">Moderate overall agreement with no statistically significant differences between programmes. </w:t>
            </w:r>
          </w:p>
        </w:tc>
      </w:tr>
      <w:tr w:rsidR="00B77810" w:rsidRPr="000046CC" w14:paraId="0CB40B4C" w14:textId="77777777" w:rsidTr="00E97200">
        <w:tc>
          <w:tcPr>
            <w:tcW w:w="3397" w:type="dxa"/>
            <w:vAlign w:val="center"/>
          </w:tcPr>
          <w:p w14:paraId="28C78D16" w14:textId="17E6F48D" w:rsidR="00B77810" w:rsidRPr="000046CC" w:rsidRDefault="00B77810" w:rsidP="00B77810">
            <w:pPr>
              <w:spacing w:line="276" w:lineRule="auto"/>
              <w:contextualSpacing/>
              <w:rPr>
                <w:rFonts w:cs="Arial"/>
              </w:rPr>
            </w:pPr>
            <w:r>
              <w:rPr>
                <w:rFonts w:ascii="Calibri" w:hAnsi="Calibri"/>
                <w:color w:val="000000"/>
              </w:rPr>
              <w:t>Uses assessment tasks early in the programme to give students early feedback on their progress</w:t>
            </w:r>
          </w:p>
        </w:tc>
        <w:tc>
          <w:tcPr>
            <w:tcW w:w="2127" w:type="dxa"/>
            <w:vAlign w:val="center"/>
          </w:tcPr>
          <w:p w14:paraId="0A7C53BF" w14:textId="7356A18E" w:rsidR="00B77810" w:rsidRPr="000046CC" w:rsidRDefault="00B77810" w:rsidP="00E97200">
            <w:pPr>
              <w:autoSpaceDE w:val="0"/>
              <w:autoSpaceDN w:val="0"/>
              <w:adjustRightInd w:val="0"/>
              <w:spacing w:line="276" w:lineRule="auto"/>
              <w:contextualSpacing/>
              <w:rPr>
                <w:rFonts w:cs="Arial"/>
              </w:rPr>
            </w:pPr>
            <w:r w:rsidRPr="00AF210C">
              <w:rPr>
                <w:rFonts w:cs="Arial"/>
              </w:rPr>
              <w:t>χ(1) = 10.644 p = .014,</w:t>
            </w:r>
            <w:r w:rsidR="00E97200" w:rsidRPr="00AF210C">
              <w:rPr>
                <w:rFonts w:cs="Arial"/>
                <w:noProof/>
                <w:lang w:eastAsia="en-GB"/>
              </w:rPr>
              <w:t xml:space="preserve"> </w:t>
            </w:r>
            <w:r w:rsidRPr="00AF210C">
              <w:rPr>
                <w:rFonts w:cs="Arial"/>
                <w:noProof/>
                <w:lang w:eastAsia="en-GB"/>
              </w:rPr>
              <w:drawing>
                <wp:inline distT="0" distB="0" distL="0" distR="0" wp14:anchorId="36B20215" wp14:editId="66069D85">
                  <wp:extent cx="76200" cy="123825"/>
                  <wp:effectExtent l="0" t="0" r="0" b="9525"/>
                  <wp:docPr id="7" name="Picture 7" descr="http://yatani.jp/mimetex/mimetex.cgi?\small%20\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tani.jp/mimetex/mimetex.cgi?\small%20\p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sidRPr="00AF210C">
              <w:rPr>
                <w:rFonts w:cs="Arial"/>
              </w:rPr>
              <w:t>=.346</w:t>
            </w:r>
          </w:p>
        </w:tc>
        <w:tc>
          <w:tcPr>
            <w:tcW w:w="3492" w:type="dxa"/>
            <w:vAlign w:val="center"/>
          </w:tcPr>
          <w:p w14:paraId="5EA57630" w14:textId="36D15C6A" w:rsidR="00B77810" w:rsidRPr="000046CC" w:rsidRDefault="00E97200" w:rsidP="00B77810">
            <w:pPr>
              <w:spacing w:line="276" w:lineRule="auto"/>
              <w:contextualSpacing/>
              <w:rPr>
                <w:rFonts w:cs="Arial"/>
              </w:rPr>
            </w:pPr>
            <w:r>
              <w:rPr>
                <w:rFonts w:cs="Arial"/>
              </w:rPr>
              <w:t>Mild agreement for tourism and very strong agreement for the other programmes, though differences were fairly weak statistically.</w:t>
            </w:r>
          </w:p>
        </w:tc>
      </w:tr>
      <w:tr w:rsidR="00E97200" w:rsidRPr="000046CC" w14:paraId="109CBBB1" w14:textId="77777777" w:rsidTr="00E97200">
        <w:tc>
          <w:tcPr>
            <w:tcW w:w="3397" w:type="dxa"/>
            <w:vAlign w:val="center"/>
          </w:tcPr>
          <w:p w14:paraId="17B2240F" w14:textId="1240740E" w:rsidR="00E97200" w:rsidRPr="000046CC" w:rsidRDefault="00E97200" w:rsidP="00E97200">
            <w:pPr>
              <w:spacing w:line="276" w:lineRule="auto"/>
              <w:contextualSpacing/>
              <w:rPr>
                <w:rFonts w:cs="Arial"/>
              </w:rPr>
            </w:pPr>
            <w:r>
              <w:rPr>
                <w:rFonts w:ascii="Calibri" w:hAnsi="Calibri"/>
                <w:color w:val="000000"/>
              </w:rPr>
              <w:t xml:space="preserve">Includes assessment that draws on cultural contexts as well as </w:t>
            </w:r>
            <w:proofErr w:type="spellStart"/>
            <w:r>
              <w:rPr>
                <w:rFonts w:ascii="Calibri" w:hAnsi="Calibri"/>
                <w:color w:val="000000"/>
              </w:rPr>
              <w:t>disclipinary</w:t>
            </w:r>
            <w:proofErr w:type="spellEnd"/>
            <w:r>
              <w:rPr>
                <w:rFonts w:ascii="Calibri" w:hAnsi="Calibri"/>
                <w:color w:val="000000"/>
              </w:rPr>
              <w:t xml:space="preserve"> knowledge (e.g. comparative exercises)</w:t>
            </w:r>
          </w:p>
        </w:tc>
        <w:tc>
          <w:tcPr>
            <w:tcW w:w="2127" w:type="dxa"/>
            <w:vAlign w:val="center"/>
          </w:tcPr>
          <w:p w14:paraId="281E2127" w14:textId="5FFE63AA" w:rsidR="00E97200" w:rsidRPr="000046CC" w:rsidRDefault="00E97200" w:rsidP="00E97200">
            <w:pPr>
              <w:autoSpaceDE w:val="0"/>
              <w:autoSpaceDN w:val="0"/>
              <w:adjustRightInd w:val="0"/>
              <w:spacing w:line="276" w:lineRule="auto"/>
              <w:contextualSpacing/>
              <w:rPr>
                <w:rFonts w:cs="Arial"/>
              </w:rPr>
            </w:pPr>
            <w:r w:rsidRPr="00AF210C">
              <w:rPr>
                <w:rFonts w:cs="Arial"/>
              </w:rPr>
              <w:t>χ(1) = 1.340 p = .720</w:t>
            </w:r>
          </w:p>
        </w:tc>
        <w:tc>
          <w:tcPr>
            <w:tcW w:w="3492" w:type="dxa"/>
            <w:vAlign w:val="center"/>
          </w:tcPr>
          <w:p w14:paraId="26EA9682" w14:textId="7584C791" w:rsidR="00E97200" w:rsidRPr="000046CC" w:rsidRDefault="00E97200" w:rsidP="00E97200">
            <w:pPr>
              <w:spacing w:line="276" w:lineRule="auto"/>
              <w:contextualSpacing/>
              <w:rPr>
                <w:rFonts w:cs="Arial"/>
              </w:rPr>
            </w:pPr>
            <w:r>
              <w:rPr>
                <w:rFonts w:cs="Arial"/>
              </w:rPr>
              <w:t xml:space="preserve">Moderate overall agreement with no statistically significant differences between programmes. </w:t>
            </w:r>
          </w:p>
        </w:tc>
      </w:tr>
      <w:tr w:rsidR="00E97200" w:rsidRPr="000046CC" w14:paraId="509B66D5" w14:textId="77777777" w:rsidTr="00E97200">
        <w:tc>
          <w:tcPr>
            <w:tcW w:w="3397" w:type="dxa"/>
            <w:vAlign w:val="center"/>
          </w:tcPr>
          <w:p w14:paraId="37E1FB73" w14:textId="4DB104B8" w:rsidR="00E97200" w:rsidRPr="000046CC" w:rsidRDefault="00E97200" w:rsidP="00E97200">
            <w:pPr>
              <w:spacing w:line="276" w:lineRule="auto"/>
              <w:contextualSpacing/>
              <w:rPr>
                <w:rFonts w:cs="Arial"/>
              </w:rPr>
            </w:pPr>
            <w:r>
              <w:rPr>
                <w:rFonts w:ascii="Calibri" w:hAnsi="Calibri"/>
                <w:color w:val="000000"/>
              </w:rPr>
              <w:t>Includes tasks that assess students' ability to work with peers from other cultures</w:t>
            </w:r>
          </w:p>
        </w:tc>
        <w:tc>
          <w:tcPr>
            <w:tcW w:w="2127" w:type="dxa"/>
            <w:vAlign w:val="center"/>
          </w:tcPr>
          <w:p w14:paraId="73784D01" w14:textId="1FE92859" w:rsidR="00E97200" w:rsidRPr="000046CC" w:rsidRDefault="00E97200" w:rsidP="00E97200">
            <w:pPr>
              <w:autoSpaceDE w:val="0"/>
              <w:autoSpaceDN w:val="0"/>
              <w:adjustRightInd w:val="0"/>
              <w:spacing w:line="276" w:lineRule="auto"/>
              <w:contextualSpacing/>
              <w:rPr>
                <w:rFonts w:cs="Arial"/>
              </w:rPr>
            </w:pPr>
            <w:r w:rsidRPr="00AF210C">
              <w:rPr>
                <w:rFonts w:cs="Arial"/>
              </w:rPr>
              <w:t>χ(1) = 3.999 p = .262</w:t>
            </w:r>
          </w:p>
        </w:tc>
        <w:tc>
          <w:tcPr>
            <w:tcW w:w="3492" w:type="dxa"/>
            <w:vAlign w:val="center"/>
          </w:tcPr>
          <w:p w14:paraId="692F2495" w14:textId="34AD4751" w:rsidR="00E97200" w:rsidRPr="000046CC" w:rsidRDefault="00E97200" w:rsidP="00E97200">
            <w:pPr>
              <w:spacing w:line="276" w:lineRule="auto"/>
              <w:contextualSpacing/>
              <w:rPr>
                <w:rFonts w:cs="Arial"/>
              </w:rPr>
            </w:pPr>
            <w:r>
              <w:rPr>
                <w:rFonts w:cs="Arial"/>
              </w:rPr>
              <w:t>Moderate overall agreement with no statistically significant differences between programmes.</w:t>
            </w:r>
          </w:p>
        </w:tc>
      </w:tr>
      <w:tr w:rsidR="00371710" w:rsidRPr="000046CC" w14:paraId="4A62CA21" w14:textId="77777777" w:rsidTr="00371710">
        <w:tc>
          <w:tcPr>
            <w:tcW w:w="3397" w:type="dxa"/>
            <w:shd w:val="clear" w:color="auto" w:fill="D9D9D9" w:themeFill="background1" w:themeFillShade="D9"/>
            <w:vAlign w:val="center"/>
          </w:tcPr>
          <w:p w14:paraId="703A3CDE" w14:textId="45D6B56B" w:rsidR="00371710" w:rsidRDefault="00371710" w:rsidP="00E97200">
            <w:pPr>
              <w:spacing w:line="276" w:lineRule="auto"/>
              <w:contextualSpacing/>
              <w:rPr>
                <w:rFonts w:ascii="Calibri" w:hAnsi="Calibri"/>
                <w:color w:val="000000"/>
              </w:rPr>
            </w:pPr>
            <w:r>
              <w:rPr>
                <w:rFonts w:ascii="Calibri" w:hAnsi="Calibri"/>
                <w:color w:val="000000"/>
              </w:rPr>
              <w:t>Overall toolkit g</w:t>
            </w:r>
            <w:r w:rsidRPr="00371710">
              <w:rPr>
                <w:rFonts w:ascii="Calibri" w:hAnsi="Calibri"/>
                <w:color w:val="000000"/>
              </w:rPr>
              <w:t>oal 3: Assessment tasks should measure the students’ specific knowledge, skills and attitudes related to global citizenship and cross-cultural competency</w:t>
            </w:r>
          </w:p>
        </w:tc>
        <w:tc>
          <w:tcPr>
            <w:tcW w:w="2127" w:type="dxa"/>
            <w:shd w:val="clear" w:color="auto" w:fill="D9D9D9" w:themeFill="background1" w:themeFillShade="D9"/>
            <w:vAlign w:val="center"/>
          </w:tcPr>
          <w:p w14:paraId="053DFECC" w14:textId="2E918B72" w:rsidR="00371710" w:rsidRPr="00AF210C" w:rsidRDefault="00371710" w:rsidP="00E97200">
            <w:pPr>
              <w:autoSpaceDE w:val="0"/>
              <w:autoSpaceDN w:val="0"/>
              <w:adjustRightInd w:val="0"/>
              <w:spacing w:line="276" w:lineRule="auto"/>
              <w:contextualSpacing/>
              <w:rPr>
                <w:rFonts w:cs="Arial"/>
              </w:rPr>
            </w:pPr>
            <w:r w:rsidRPr="00AF210C">
              <w:rPr>
                <w:rFonts w:cs="Arial"/>
              </w:rPr>
              <w:t>χ(1) =</w:t>
            </w:r>
            <w:r>
              <w:rPr>
                <w:rFonts w:cs="Arial"/>
              </w:rPr>
              <w:t>21.823</w:t>
            </w:r>
            <w:r w:rsidRPr="00AF210C">
              <w:rPr>
                <w:rFonts w:cs="Arial"/>
              </w:rPr>
              <w:t>, p = .</w:t>
            </w:r>
            <w:r>
              <w:rPr>
                <w:rFonts w:cs="Arial"/>
              </w:rPr>
              <w:t>746</w:t>
            </w:r>
          </w:p>
        </w:tc>
        <w:tc>
          <w:tcPr>
            <w:tcW w:w="3492" w:type="dxa"/>
            <w:shd w:val="clear" w:color="auto" w:fill="D9D9D9" w:themeFill="background1" w:themeFillShade="D9"/>
            <w:vAlign w:val="center"/>
          </w:tcPr>
          <w:p w14:paraId="36648C2F" w14:textId="54DCBCBA" w:rsidR="00371710" w:rsidRDefault="00371710" w:rsidP="00E97200">
            <w:pPr>
              <w:spacing w:line="276" w:lineRule="auto"/>
              <w:contextualSpacing/>
              <w:rPr>
                <w:rFonts w:cs="Arial"/>
              </w:rPr>
            </w:pPr>
            <w:r>
              <w:rPr>
                <w:rFonts w:cs="Arial"/>
              </w:rPr>
              <w:t>Strong overall agreement with no statistically significant differences between programmes.</w:t>
            </w:r>
          </w:p>
        </w:tc>
      </w:tr>
    </w:tbl>
    <w:p w14:paraId="3E8C2DB1" w14:textId="2CB9210B" w:rsidR="00E21606" w:rsidRDefault="00E21606" w:rsidP="000E2AF9">
      <w:pPr>
        <w:spacing w:after="0" w:line="276" w:lineRule="auto"/>
        <w:contextualSpacing/>
        <w:rPr>
          <w:rFonts w:cs="Arial"/>
        </w:rPr>
      </w:pPr>
      <w:bookmarkStart w:id="0" w:name="_GoBack"/>
      <w:bookmarkEnd w:id="0"/>
    </w:p>
    <w:sectPr w:rsidR="00E21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95A19"/>
    <w:multiLevelType w:val="hybridMultilevel"/>
    <w:tmpl w:val="766A3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F9"/>
    <w:rsid w:val="000046CC"/>
    <w:rsid w:val="0005661B"/>
    <w:rsid w:val="000724A7"/>
    <w:rsid w:val="000E2AF9"/>
    <w:rsid w:val="000E450B"/>
    <w:rsid w:val="00314F82"/>
    <w:rsid w:val="0033675B"/>
    <w:rsid w:val="00371710"/>
    <w:rsid w:val="003E7C31"/>
    <w:rsid w:val="005D02DC"/>
    <w:rsid w:val="006A1987"/>
    <w:rsid w:val="007153BA"/>
    <w:rsid w:val="0072411C"/>
    <w:rsid w:val="00732699"/>
    <w:rsid w:val="007C4AC9"/>
    <w:rsid w:val="00934AF8"/>
    <w:rsid w:val="009B7088"/>
    <w:rsid w:val="00AA352D"/>
    <w:rsid w:val="00B77810"/>
    <w:rsid w:val="00BE367B"/>
    <w:rsid w:val="00C50EF0"/>
    <w:rsid w:val="00DC1028"/>
    <w:rsid w:val="00E21606"/>
    <w:rsid w:val="00E74681"/>
    <w:rsid w:val="00E97200"/>
    <w:rsid w:val="00F76916"/>
    <w:rsid w:val="00FE1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3CBB"/>
  <w15:chartTrackingRefBased/>
  <w15:docId w15:val="{DD9DEB8E-290A-4462-902A-033E0B1E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2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2AF9"/>
    <w:rPr>
      <w:sz w:val="16"/>
      <w:szCs w:val="16"/>
    </w:rPr>
  </w:style>
  <w:style w:type="paragraph" w:styleId="CommentText">
    <w:name w:val="annotation text"/>
    <w:basedOn w:val="Normal"/>
    <w:link w:val="CommentTextChar"/>
    <w:uiPriority w:val="99"/>
    <w:semiHidden/>
    <w:unhideWhenUsed/>
    <w:rsid w:val="000E2AF9"/>
    <w:pPr>
      <w:spacing w:line="240" w:lineRule="auto"/>
    </w:pPr>
    <w:rPr>
      <w:sz w:val="20"/>
      <w:szCs w:val="20"/>
    </w:rPr>
  </w:style>
  <w:style w:type="character" w:customStyle="1" w:styleId="CommentTextChar">
    <w:name w:val="Comment Text Char"/>
    <w:basedOn w:val="DefaultParagraphFont"/>
    <w:link w:val="CommentText"/>
    <w:uiPriority w:val="99"/>
    <w:semiHidden/>
    <w:rsid w:val="000E2AF9"/>
    <w:rPr>
      <w:sz w:val="20"/>
      <w:szCs w:val="20"/>
    </w:rPr>
  </w:style>
  <w:style w:type="paragraph" w:styleId="BalloonText">
    <w:name w:val="Balloon Text"/>
    <w:basedOn w:val="Normal"/>
    <w:link w:val="BalloonTextChar"/>
    <w:uiPriority w:val="99"/>
    <w:semiHidden/>
    <w:unhideWhenUsed/>
    <w:rsid w:val="000E2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F9"/>
    <w:rPr>
      <w:rFonts w:ascii="Segoe UI" w:hAnsi="Segoe UI" w:cs="Segoe UI"/>
      <w:sz w:val="18"/>
      <w:szCs w:val="18"/>
    </w:rPr>
  </w:style>
  <w:style w:type="paragraph" w:styleId="ListParagraph">
    <w:name w:val="List Paragraph"/>
    <w:basedOn w:val="Normal"/>
    <w:uiPriority w:val="34"/>
    <w:qFormat/>
    <w:rsid w:val="000E450B"/>
    <w:pPr>
      <w:ind w:left="720"/>
      <w:contextualSpacing/>
    </w:pPr>
  </w:style>
  <w:style w:type="table" w:styleId="TableGrid">
    <w:name w:val="Table Grid"/>
    <w:basedOn w:val="TableNormal"/>
    <w:uiPriority w:val="39"/>
    <w:rsid w:val="0000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4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Carver</dc:creator>
  <cp:keywords/>
  <dc:description/>
  <cp:lastModifiedBy>Mark Carver</cp:lastModifiedBy>
  <cp:revision>4</cp:revision>
  <dcterms:created xsi:type="dcterms:W3CDTF">2017-08-13T11:59:00Z</dcterms:created>
  <dcterms:modified xsi:type="dcterms:W3CDTF">2017-08-13T12:00:00Z</dcterms:modified>
</cp:coreProperties>
</file>