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F8CD" w14:textId="213836BF" w:rsidR="002B3704" w:rsidRDefault="00D72882" w:rsidP="002B3704">
      <w:pPr>
        <w:rPr>
          <w:b/>
        </w:rPr>
      </w:pPr>
      <w:r w:rsidRPr="00984EBE">
        <w:rPr>
          <w:rFonts w:cs="Arial"/>
          <w:noProof/>
          <w:sz w:val="24"/>
          <w:lang w:eastAsia="en-GB"/>
        </w:rPr>
        <w:drawing>
          <wp:anchor distT="0" distB="0" distL="114300" distR="114300" simplePos="0" relativeHeight="251658239" behindDoc="1" locked="0" layoutInCell="1" allowOverlap="1" wp14:anchorId="11DD62CC" wp14:editId="7B41AF12">
            <wp:simplePos x="0" y="0"/>
            <wp:positionH relativeFrom="page">
              <wp:posOffset>9525</wp:posOffset>
            </wp:positionH>
            <wp:positionV relativeFrom="page">
              <wp:posOffset>0</wp:posOffset>
            </wp:positionV>
            <wp:extent cx="5124450" cy="992505"/>
            <wp:effectExtent l="0" t="0" r="0" b="0"/>
            <wp:wrapNone/>
            <wp:docPr id="1" name="Picture 2" descr="A4 head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header-lar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9466" r="53809"/>
                    <a:stretch/>
                  </pic:blipFill>
                  <pic:spPr bwMode="auto">
                    <a:xfrm>
                      <a:off x="0" y="0"/>
                      <a:ext cx="5124450" cy="99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4EBE">
        <w:rPr>
          <w:rFonts w:cs="Arial"/>
          <w:noProof/>
          <w:sz w:val="24"/>
          <w:lang w:eastAsia="en-GB"/>
        </w:rPr>
        <w:drawing>
          <wp:anchor distT="0" distB="0" distL="114300" distR="114300" simplePos="0" relativeHeight="251659264" behindDoc="1" locked="0" layoutInCell="1" allowOverlap="1" wp14:anchorId="381630AB" wp14:editId="4655E0D2">
            <wp:simplePos x="0" y="0"/>
            <wp:positionH relativeFrom="page">
              <wp:posOffset>4133850</wp:posOffset>
            </wp:positionH>
            <wp:positionV relativeFrom="page">
              <wp:posOffset>-1905</wp:posOffset>
            </wp:positionV>
            <wp:extent cx="6553200" cy="992505"/>
            <wp:effectExtent l="0" t="0" r="0" b="0"/>
            <wp:wrapNone/>
            <wp:docPr id="59" name="Picture 2" descr="A4 head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header-lar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466"/>
                    <a:stretch/>
                  </pic:blipFill>
                  <pic:spPr bwMode="auto">
                    <a:xfrm>
                      <a:off x="0" y="0"/>
                      <a:ext cx="6553200" cy="99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9643F7" w14:textId="32116C22" w:rsidR="00D72882" w:rsidRPr="00D72882" w:rsidRDefault="001D766B" w:rsidP="002B3704">
      <w:pPr>
        <w:rPr>
          <w:b/>
        </w:rPr>
      </w:pPr>
      <w:bookmarkStart w:id="0" w:name="_Hlk491181719"/>
      <w:r>
        <w:rPr>
          <w:noProof/>
        </w:rPr>
        <w:drawing>
          <wp:anchor distT="0" distB="0" distL="114300" distR="114300" simplePos="0" relativeHeight="251658752" behindDoc="0" locked="0" layoutInCell="1" allowOverlap="1" wp14:anchorId="0DDE843D" wp14:editId="5F249B5C">
            <wp:simplePos x="0" y="0"/>
            <wp:positionH relativeFrom="column">
              <wp:posOffset>5784850</wp:posOffset>
            </wp:positionH>
            <wp:positionV relativeFrom="paragraph">
              <wp:posOffset>76200</wp:posOffset>
            </wp:positionV>
            <wp:extent cx="3244850" cy="2761615"/>
            <wp:effectExtent l="0" t="0" r="12700" b="635"/>
            <wp:wrapNone/>
            <wp:docPr id="6" name="Chart 6">
              <a:extLst xmlns:a="http://schemas.openxmlformats.org/drawingml/2006/main">
                <a:ext uri="{FF2B5EF4-FFF2-40B4-BE49-F238E27FC236}">
                  <a16:creationId xmlns:a16="http://schemas.microsoft.com/office/drawing/2014/main" id="{00000000-0008-0000-0100-000003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312AF">
        <w:rPr>
          <w:b/>
        </w:rPr>
        <w:t xml:space="preserve">BB01 </w:t>
      </w:r>
      <w:r w:rsidR="00C076F8">
        <w:rPr>
          <w:b/>
        </w:rPr>
        <w:t>E</w:t>
      </w:r>
      <w:r w:rsidR="00271BB5">
        <w:rPr>
          <w:b/>
        </w:rPr>
        <w:t xml:space="preserve">nergy </w:t>
      </w:r>
      <w:r w:rsidR="007F24B0">
        <w:rPr>
          <w:b/>
        </w:rPr>
        <w:t>use and energy saving</w:t>
      </w:r>
      <w:r w:rsidR="00271BB5">
        <w:rPr>
          <w:b/>
        </w:rPr>
        <w:t xml:space="preserve"> opportunities</w:t>
      </w:r>
    </w:p>
    <w:p w14:paraId="0CBA45A8" w14:textId="3680AA65" w:rsidR="00D72882" w:rsidRDefault="00271BB5" w:rsidP="00D72882">
      <w:r>
        <w:t>Current estimated energy use and split of energy uses</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000"/>
        <w:gridCol w:w="1448"/>
        <w:gridCol w:w="1352"/>
        <w:gridCol w:w="1460"/>
        <w:gridCol w:w="1360"/>
      </w:tblGrid>
      <w:tr w:rsidR="007F24B0" w:rsidRPr="007F24B0" w14:paraId="01E01C89" w14:textId="77777777" w:rsidTr="007F24B0">
        <w:trPr>
          <w:trHeight w:val="330"/>
        </w:trPr>
        <w:tc>
          <w:tcPr>
            <w:tcW w:w="3000" w:type="dxa"/>
            <w:shd w:val="clear" w:color="000000" w:fill="1F497D"/>
            <w:noWrap/>
            <w:vAlign w:val="center"/>
            <w:hideMark/>
          </w:tcPr>
          <w:p w14:paraId="31E30085" w14:textId="77777777" w:rsidR="007F24B0" w:rsidRPr="007F24B0" w:rsidRDefault="007F24B0" w:rsidP="007F24B0">
            <w:pPr>
              <w:spacing w:after="0" w:line="240" w:lineRule="auto"/>
              <w:rPr>
                <w:rFonts w:ascii="Calibri" w:eastAsia="Times New Roman" w:hAnsi="Calibri" w:cs="Calibri"/>
                <w:b/>
                <w:bCs/>
                <w:color w:val="FFFFFF"/>
                <w:sz w:val="18"/>
                <w:szCs w:val="18"/>
                <w:lang w:eastAsia="en-GB"/>
              </w:rPr>
            </w:pPr>
            <w:r w:rsidRPr="007F24B0">
              <w:rPr>
                <w:rFonts w:ascii="Calibri" w:eastAsia="Times New Roman" w:hAnsi="Calibri" w:cs="Calibri"/>
                <w:b/>
                <w:bCs/>
                <w:color w:val="FFFFFF"/>
                <w:sz w:val="18"/>
                <w:szCs w:val="18"/>
                <w:lang w:eastAsia="en-GB"/>
              </w:rPr>
              <w:t>Electricity</w:t>
            </w:r>
          </w:p>
        </w:tc>
        <w:tc>
          <w:tcPr>
            <w:tcW w:w="1448" w:type="dxa"/>
            <w:shd w:val="clear" w:color="000000" w:fill="1F497D"/>
            <w:vAlign w:val="center"/>
            <w:hideMark/>
          </w:tcPr>
          <w:p w14:paraId="6C97C4B5" w14:textId="77777777" w:rsidR="007F24B0" w:rsidRPr="007F24B0" w:rsidRDefault="007F24B0" w:rsidP="007F24B0">
            <w:pPr>
              <w:spacing w:after="0" w:line="240" w:lineRule="auto"/>
              <w:rPr>
                <w:rFonts w:ascii="Calibri" w:eastAsia="Times New Roman" w:hAnsi="Calibri" w:cs="Calibri"/>
                <w:b/>
                <w:bCs/>
                <w:color w:val="FFFFFF"/>
                <w:sz w:val="18"/>
                <w:szCs w:val="18"/>
                <w:lang w:eastAsia="en-GB"/>
              </w:rPr>
            </w:pPr>
          </w:p>
        </w:tc>
        <w:tc>
          <w:tcPr>
            <w:tcW w:w="1352" w:type="dxa"/>
            <w:shd w:val="clear" w:color="000000" w:fill="1F497D"/>
            <w:vAlign w:val="center"/>
            <w:hideMark/>
          </w:tcPr>
          <w:p w14:paraId="15623E28" w14:textId="77777777" w:rsidR="007F24B0" w:rsidRPr="007F24B0" w:rsidRDefault="007F24B0" w:rsidP="007F24B0">
            <w:pPr>
              <w:spacing w:after="0" w:line="240" w:lineRule="auto"/>
              <w:rPr>
                <w:rFonts w:ascii="Times New Roman" w:eastAsia="Times New Roman" w:hAnsi="Times New Roman" w:cs="Times New Roman"/>
                <w:sz w:val="20"/>
                <w:szCs w:val="20"/>
                <w:lang w:eastAsia="en-GB"/>
              </w:rPr>
            </w:pPr>
          </w:p>
        </w:tc>
        <w:tc>
          <w:tcPr>
            <w:tcW w:w="1460" w:type="dxa"/>
            <w:shd w:val="clear" w:color="000000" w:fill="1F497D"/>
            <w:noWrap/>
            <w:vAlign w:val="center"/>
            <w:hideMark/>
          </w:tcPr>
          <w:p w14:paraId="74F7354F" w14:textId="77777777" w:rsidR="007F24B0" w:rsidRPr="007F24B0" w:rsidRDefault="007F24B0" w:rsidP="007F24B0">
            <w:pPr>
              <w:spacing w:after="0" w:line="240" w:lineRule="auto"/>
              <w:rPr>
                <w:rFonts w:ascii="Times New Roman" w:eastAsia="Times New Roman" w:hAnsi="Times New Roman" w:cs="Times New Roman"/>
                <w:sz w:val="20"/>
                <w:szCs w:val="20"/>
                <w:lang w:eastAsia="en-GB"/>
              </w:rPr>
            </w:pPr>
          </w:p>
        </w:tc>
        <w:tc>
          <w:tcPr>
            <w:tcW w:w="1360" w:type="dxa"/>
            <w:shd w:val="clear" w:color="000000" w:fill="1F497D"/>
            <w:noWrap/>
            <w:vAlign w:val="center"/>
            <w:hideMark/>
          </w:tcPr>
          <w:p w14:paraId="4AC4FB0E" w14:textId="77777777" w:rsidR="007F24B0" w:rsidRPr="007F24B0" w:rsidRDefault="007F24B0" w:rsidP="007F24B0">
            <w:pPr>
              <w:spacing w:after="0" w:line="240" w:lineRule="auto"/>
              <w:rPr>
                <w:rFonts w:ascii="Times New Roman" w:eastAsia="Times New Roman" w:hAnsi="Times New Roman" w:cs="Times New Roman"/>
                <w:sz w:val="20"/>
                <w:szCs w:val="20"/>
                <w:lang w:eastAsia="en-GB"/>
              </w:rPr>
            </w:pPr>
          </w:p>
        </w:tc>
      </w:tr>
      <w:tr w:rsidR="007F24B0" w:rsidRPr="007F24B0" w14:paraId="49160B85" w14:textId="77777777" w:rsidTr="007F24B0">
        <w:trPr>
          <w:trHeight w:val="420"/>
        </w:trPr>
        <w:tc>
          <w:tcPr>
            <w:tcW w:w="3000" w:type="dxa"/>
            <w:vMerge w:val="restart"/>
            <w:shd w:val="clear" w:color="000000" w:fill="1F497D"/>
            <w:vAlign w:val="center"/>
            <w:hideMark/>
          </w:tcPr>
          <w:p w14:paraId="0DB35C16" w14:textId="77777777" w:rsidR="007F24B0" w:rsidRPr="007F24B0" w:rsidRDefault="007F24B0" w:rsidP="007F24B0">
            <w:pPr>
              <w:spacing w:after="0" w:line="240" w:lineRule="auto"/>
              <w:jc w:val="center"/>
              <w:rPr>
                <w:rFonts w:ascii="Calibri" w:eastAsia="Times New Roman" w:hAnsi="Calibri" w:cs="Calibri"/>
                <w:b/>
                <w:bCs/>
                <w:color w:val="FFFFFF"/>
                <w:sz w:val="18"/>
                <w:szCs w:val="18"/>
                <w:lang w:eastAsia="en-GB"/>
              </w:rPr>
            </w:pPr>
            <w:r w:rsidRPr="007F24B0">
              <w:rPr>
                <w:rFonts w:ascii="Calibri" w:eastAsia="Times New Roman" w:hAnsi="Calibri" w:cs="Calibri"/>
                <w:b/>
                <w:bCs/>
                <w:color w:val="FFFFFF"/>
                <w:sz w:val="18"/>
                <w:szCs w:val="18"/>
                <w:lang w:eastAsia="en-GB"/>
              </w:rPr>
              <w:t>Significant Electricity User</w:t>
            </w:r>
          </w:p>
        </w:tc>
        <w:tc>
          <w:tcPr>
            <w:tcW w:w="1448" w:type="dxa"/>
            <w:shd w:val="clear" w:color="000000" w:fill="1F497D"/>
            <w:noWrap/>
            <w:vAlign w:val="center"/>
            <w:hideMark/>
          </w:tcPr>
          <w:p w14:paraId="34E060D5" w14:textId="77777777" w:rsidR="007F24B0" w:rsidRPr="007F24B0" w:rsidRDefault="007F24B0" w:rsidP="007F24B0">
            <w:pPr>
              <w:spacing w:after="0" w:line="240" w:lineRule="auto"/>
              <w:rPr>
                <w:rFonts w:ascii="Calibri" w:eastAsia="Times New Roman" w:hAnsi="Calibri" w:cs="Calibri"/>
                <w:b/>
                <w:bCs/>
                <w:color w:val="FFFFFF"/>
                <w:sz w:val="18"/>
                <w:szCs w:val="18"/>
                <w:lang w:eastAsia="en-GB"/>
              </w:rPr>
            </w:pPr>
            <w:r w:rsidRPr="007F24B0">
              <w:rPr>
                <w:rFonts w:ascii="Calibri" w:eastAsia="Times New Roman" w:hAnsi="Calibri" w:cs="Calibri"/>
                <w:b/>
                <w:bCs/>
                <w:color w:val="FFFFFF"/>
                <w:sz w:val="18"/>
                <w:szCs w:val="18"/>
                <w:lang w:eastAsia="en-GB"/>
              </w:rPr>
              <w:t>Consumption</w:t>
            </w:r>
          </w:p>
        </w:tc>
        <w:tc>
          <w:tcPr>
            <w:tcW w:w="1352" w:type="dxa"/>
            <w:shd w:val="clear" w:color="000000" w:fill="1F497D"/>
            <w:vAlign w:val="center"/>
            <w:hideMark/>
          </w:tcPr>
          <w:p w14:paraId="1EEF95A3" w14:textId="77777777" w:rsidR="007F24B0" w:rsidRPr="007F24B0" w:rsidRDefault="007F24B0" w:rsidP="007F24B0">
            <w:pPr>
              <w:spacing w:after="0" w:line="240" w:lineRule="auto"/>
              <w:rPr>
                <w:rFonts w:ascii="Calibri" w:eastAsia="Times New Roman" w:hAnsi="Calibri" w:cs="Calibri"/>
                <w:b/>
                <w:bCs/>
                <w:color w:val="FFFFFF"/>
                <w:sz w:val="18"/>
                <w:szCs w:val="18"/>
                <w:lang w:eastAsia="en-GB"/>
              </w:rPr>
            </w:pPr>
          </w:p>
        </w:tc>
        <w:tc>
          <w:tcPr>
            <w:tcW w:w="1460" w:type="dxa"/>
            <w:shd w:val="clear" w:color="000000" w:fill="1F497D"/>
            <w:noWrap/>
            <w:vAlign w:val="center"/>
            <w:hideMark/>
          </w:tcPr>
          <w:p w14:paraId="684C41EA" w14:textId="77777777" w:rsidR="007F24B0" w:rsidRPr="007F24B0" w:rsidRDefault="007F24B0" w:rsidP="007F24B0">
            <w:pPr>
              <w:spacing w:after="0" w:line="240" w:lineRule="auto"/>
              <w:rPr>
                <w:rFonts w:ascii="Calibri" w:eastAsia="Times New Roman" w:hAnsi="Calibri" w:cs="Calibri"/>
                <w:b/>
                <w:bCs/>
                <w:color w:val="FFFFFF"/>
                <w:sz w:val="18"/>
                <w:szCs w:val="18"/>
                <w:lang w:eastAsia="en-GB"/>
              </w:rPr>
            </w:pPr>
            <w:r w:rsidRPr="007F24B0">
              <w:rPr>
                <w:rFonts w:ascii="Calibri" w:eastAsia="Times New Roman" w:hAnsi="Calibri" w:cs="Calibri"/>
                <w:b/>
                <w:bCs/>
                <w:color w:val="FFFFFF"/>
                <w:sz w:val="18"/>
                <w:szCs w:val="18"/>
                <w:lang w:eastAsia="en-GB"/>
              </w:rPr>
              <w:t>Cost</w:t>
            </w:r>
          </w:p>
        </w:tc>
        <w:tc>
          <w:tcPr>
            <w:tcW w:w="1360" w:type="dxa"/>
            <w:shd w:val="clear" w:color="000000" w:fill="1F497D"/>
            <w:vAlign w:val="center"/>
            <w:hideMark/>
          </w:tcPr>
          <w:p w14:paraId="50899495" w14:textId="77777777" w:rsidR="007F24B0" w:rsidRPr="007F24B0" w:rsidRDefault="007F24B0" w:rsidP="007F24B0">
            <w:pPr>
              <w:spacing w:after="0" w:line="240" w:lineRule="auto"/>
              <w:rPr>
                <w:rFonts w:ascii="Calibri" w:eastAsia="Times New Roman" w:hAnsi="Calibri" w:cs="Calibri"/>
                <w:b/>
                <w:bCs/>
                <w:color w:val="FFFFFF"/>
                <w:sz w:val="18"/>
                <w:szCs w:val="18"/>
                <w:lang w:eastAsia="en-GB"/>
              </w:rPr>
            </w:pPr>
          </w:p>
        </w:tc>
      </w:tr>
      <w:tr w:rsidR="007F24B0" w:rsidRPr="007F24B0" w14:paraId="72A5BE9D" w14:textId="77777777" w:rsidTr="007F24B0">
        <w:trPr>
          <w:trHeight w:val="936"/>
        </w:trPr>
        <w:tc>
          <w:tcPr>
            <w:tcW w:w="3000" w:type="dxa"/>
            <w:vMerge/>
            <w:vAlign w:val="center"/>
            <w:hideMark/>
          </w:tcPr>
          <w:p w14:paraId="6DC4BCAA" w14:textId="77777777" w:rsidR="007F24B0" w:rsidRPr="007F24B0" w:rsidRDefault="007F24B0" w:rsidP="007F24B0">
            <w:pPr>
              <w:spacing w:after="0" w:line="240" w:lineRule="auto"/>
              <w:rPr>
                <w:rFonts w:ascii="Calibri" w:eastAsia="Times New Roman" w:hAnsi="Calibri" w:cs="Calibri"/>
                <w:b/>
                <w:bCs/>
                <w:color w:val="FFFFFF"/>
                <w:sz w:val="18"/>
                <w:szCs w:val="18"/>
                <w:lang w:eastAsia="en-GB"/>
              </w:rPr>
            </w:pPr>
          </w:p>
        </w:tc>
        <w:tc>
          <w:tcPr>
            <w:tcW w:w="1448" w:type="dxa"/>
            <w:shd w:val="clear" w:color="000000" w:fill="1F497D"/>
            <w:vAlign w:val="center"/>
            <w:hideMark/>
          </w:tcPr>
          <w:p w14:paraId="2F86AD4F" w14:textId="77777777" w:rsidR="007F24B0" w:rsidRPr="007F24B0" w:rsidRDefault="007F24B0" w:rsidP="007F24B0">
            <w:pPr>
              <w:spacing w:after="0" w:line="240" w:lineRule="auto"/>
              <w:jc w:val="center"/>
              <w:rPr>
                <w:rFonts w:ascii="Calibri" w:eastAsia="Times New Roman" w:hAnsi="Calibri" w:cs="Calibri"/>
                <w:b/>
                <w:bCs/>
                <w:color w:val="FFFFFF"/>
                <w:sz w:val="18"/>
                <w:szCs w:val="18"/>
                <w:lang w:eastAsia="en-GB"/>
              </w:rPr>
            </w:pPr>
            <w:r w:rsidRPr="007F24B0">
              <w:rPr>
                <w:rFonts w:ascii="Calibri" w:eastAsia="Times New Roman" w:hAnsi="Calibri" w:cs="Calibri"/>
                <w:b/>
                <w:bCs/>
                <w:color w:val="FFFFFF"/>
                <w:sz w:val="18"/>
                <w:szCs w:val="18"/>
                <w:lang w:eastAsia="en-GB"/>
              </w:rPr>
              <w:t>[kWh]</w:t>
            </w:r>
          </w:p>
        </w:tc>
        <w:tc>
          <w:tcPr>
            <w:tcW w:w="1352" w:type="dxa"/>
            <w:shd w:val="clear" w:color="000000" w:fill="1F497D"/>
            <w:vAlign w:val="center"/>
            <w:hideMark/>
          </w:tcPr>
          <w:p w14:paraId="5CB38ABC" w14:textId="77777777" w:rsidR="007F24B0" w:rsidRPr="007F24B0" w:rsidRDefault="007F24B0" w:rsidP="007F24B0">
            <w:pPr>
              <w:spacing w:after="0" w:line="240" w:lineRule="auto"/>
              <w:jc w:val="center"/>
              <w:rPr>
                <w:rFonts w:ascii="Calibri" w:eastAsia="Times New Roman" w:hAnsi="Calibri" w:cs="Calibri"/>
                <w:b/>
                <w:bCs/>
                <w:color w:val="FFFFFF"/>
                <w:sz w:val="18"/>
                <w:szCs w:val="18"/>
                <w:lang w:eastAsia="en-GB"/>
              </w:rPr>
            </w:pPr>
            <w:r w:rsidRPr="007F24B0">
              <w:rPr>
                <w:rFonts w:ascii="Calibri" w:eastAsia="Times New Roman" w:hAnsi="Calibri" w:cs="Calibri"/>
                <w:b/>
                <w:bCs/>
                <w:color w:val="FFFFFF"/>
                <w:sz w:val="18"/>
                <w:szCs w:val="18"/>
                <w:lang w:eastAsia="en-GB"/>
              </w:rPr>
              <w:t>[% of Billed Consumption]</w:t>
            </w:r>
          </w:p>
        </w:tc>
        <w:tc>
          <w:tcPr>
            <w:tcW w:w="1460" w:type="dxa"/>
            <w:shd w:val="clear" w:color="000000" w:fill="1F497D"/>
            <w:vAlign w:val="center"/>
            <w:hideMark/>
          </w:tcPr>
          <w:p w14:paraId="6EDE42BC" w14:textId="77777777" w:rsidR="007F24B0" w:rsidRPr="007F24B0" w:rsidRDefault="007F24B0" w:rsidP="007F24B0">
            <w:pPr>
              <w:spacing w:after="0" w:line="240" w:lineRule="auto"/>
              <w:jc w:val="center"/>
              <w:rPr>
                <w:rFonts w:ascii="Calibri" w:eastAsia="Times New Roman" w:hAnsi="Calibri" w:cs="Calibri"/>
                <w:b/>
                <w:bCs/>
                <w:color w:val="FFFFFF"/>
                <w:sz w:val="18"/>
                <w:szCs w:val="18"/>
                <w:lang w:eastAsia="en-GB"/>
              </w:rPr>
            </w:pPr>
            <w:r w:rsidRPr="007F24B0">
              <w:rPr>
                <w:rFonts w:ascii="Calibri" w:eastAsia="Times New Roman" w:hAnsi="Calibri" w:cs="Calibri"/>
                <w:b/>
                <w:bCs/>
                <w:color w:val="FFFFFF"/>
                <w:sz w:val="18"/>
                <w:szCs w:val="18"/>
                <w:lang w:eastAsia="en-GB"/>
              </w:rPr>
              <w:t>[£]</w:t>
            </w:r>
          </w:p>
        </w:tc>
        <w:tc>
          <w:tcPr>
            <w:tcW w:w="1360" w:type="dxa"/>
            <w:shd w:val="clear" w:color="000000" w:fill="1F497D"/>
            <w:vAlign w:val="center"/>
            <w:hideMark/>
          </w:tcPr>
          <w:p w14:paraId="5FB30A79" w14:textId="77777777" w:rsidR="007F24B0" w:rsidRPr="007F24B0" w:rsidRDefault="007F24B0" w:rsidP="007F24B0">
            <w:pPr>
              <w:spacing w:after="0" w:line="240" w:lineRule="auto"/>
              <w:jc w:val="center"/>
              <w:rPr>
                <w:rFonts w:ascii="Calibri" w:eastAsia="Times New Roman" w:hAnsi="Calibri" w:cs="Calibri"/>
                <w:b/>
                <w:bCs/>
                <w:color w:val="FFFFFF"/>
                <w:sz w:val="18"/>
                <w:szCs w:val="18"/>
                <w:lang w:eastAsia="en-GB"/>
              </w:rPr>
            </w:pPr>
            <w:r w:rsidRPr="007F24B0">
              <w:rPr>
                <w:rFonts w:ascii="Calibri" w:eastAsia="Times New Roman" w:hAnsi="Calibri" w:cs="Calibri"/>
                <w:b/>
                <w:bCs/>
                <w:color w:val="FFFFFF"/>
                <w:sz w:val="18"/>
                <w:szCs w:val="18"/>
                <w:lang w:eastAsia="en-GB"/>
              </w:rPr>
              <w:t>[% of Billed Cost]</w:t>
            </w:r>
          </w:p>
        </w:tc>
      </w:tr>
      <w:tr w:rsidR="007F24B0" w:rsidRPr="007F24B0" w14:paraId="12246D32" w14:textId="77777777" w:rsidTr="007F24B0">
        <w:trPr>
          <w:trHeight w:val="282"/>
        </w:trPr>
        <w:tc>
          <w:tcPr>
            <w:tcW w:w="3000" w:type="dxa"/>
            <w:noWrap/>
            <w:vAlign w:val="bottom"/>
            <w:hideMark/>
          </w:tcPr>
          <w:p w14:paraId="5B8E7423" w14:textId="77777777" w:rsidR="007F24B0" w:rsidRPr="007F24B0" w:rsidRDefault="007F24B0" w:rsidP="007F24B0">
            <w:pPr>
              <w:spacing w:after="0" w:line="240" w:lineRule="auto"/>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Lighting</w:t>
            </w:r>
          </w:p>
        </w:tc>
        <w:tc>
          <w:tcPr>
            <w:tcW w:w="1448" w:type="dxa"/>
            <w:noWrap/>
            <w:vAlign w:val="bottom"/>
            <w:hideMark/>
          </w:tcPr>
          <w:p w14:paraId="030A3A29"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6,715</w:t>
            </w:r>
          </w:p>
        </w:tc>
        <w:tc>
          <w:tcPr>
            <w:tcW w:w="1352" w:type="dxa"/>
            <w:noWrap/>
            <w:vAlign w:val="bottom"/>
            <w:hideMark/>
          </w:tcPr>
          <w:p w14:paraId="3A65E966"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46%</w:t>
            </w:r>
          </w:p>
        </w:tc>
        <w:tc>
          <w:tcPr>
            <w:tcW w:w="1460" w:type="dxa"/>
            <w:noWrap/>
            <w:vAlign w:val="bottom"/>
            <w:hideMark/>
          </w:tcPr>
          <w:p w14:paraId="72B7B1DD"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 xml:space="preserve"> £805.82 </w:t>
            </w:r>
          </w:p>
        </w:tc>
        <w:tc>
          <w:tcPr>
            <w:tcW w:w="1360" w:type="dxa"/>
            <w:noWrap/>
            <w:vAlign w:val="bottom"/>
            <w:hideMark/>
          </w:tcPr>
          <w:p w14:paraId="0C2F6AE4"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46%</w:t>
            </w:r>
          </w:p>
        </w:tc>
      </w:tr>
      <w:tr w:rsidR="007F24B0" w:rsidRPr="007F24B0" w14:paraId="6216EA6D" w14:textId="77777777" w:rsidTr="007F24B0">
        <w:trPr>
          <w:trHeight w:val="282"/>
        </w:trPr>
        <w:tc>
          <w:tcPr>
            <w:tcW w:w="3000" w:type="dxa"/>
            <w:noWrap/>
            <w:vAlign w:val="bottom"/>
            <w:hideMark/>
          </w:tcPr>
          <w:p w14:paraId="1A7DCBC4" w14:textId="77777777" w:rsidR="007F24B0" w:rsidRPr="007F24B0" w:rsidRDefault="007F24B0" w:rsidP="007F24B0">
            <w:pPr>
              <w:spacing w:after="0" w:line="240" w:lineRule="auto"/>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HVAC</w:t>
            </w:r>
          </w:p>
        </w:tc>
        <w:tc>
          <w:tcPr>
            <w:tcW w:w="1448" w:type="dxa"/>
            <w:noWrap/>
            <w:vAlign w:val="bottom"/>
            <w:hideMark/>
          </w:tcPr>
          <w:p w14:paraId="66FEE54F"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4,680</w:t>
            </w:r>
          </w:p>
        </w:tc>
        <w:tc>
          <w:tcPr>
            <w:tcW w:w="1352" w:type="dxa"/>
            <w:noWrap/>
            <w:vAlign w:val="bottom"/>
            <w:hideMark/>
          </w:tcPr>
          <w:p w14:paraId="5BAFEFFF"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32%</w:t>
            </w:r>
          </w:p>
        </w:tc>
        <w:tc>
          <w:tcPr>
            <w:tcW w:w="1460" w:type="dxa"/>
            <w:noWrap/>
            <w:vAlign w:val="bottom"/>
            <w:hideMark/>
          </w:tcPr>
          <w:p w14:paraId="079703D9"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 xml:space="preserve"> £561.60 </w:t>
            </w:r>
          </w:p>
        </w:tc>
        <w:tc>
          <w:tcPr>
            <w:tcW w:w="1360" w:type="dxa"/>
            <w:noWrap/>
            <w:vAlign w:val="bottom"/>
            <w:hideMark/>
          </w:tcPr>
          <w:p w14:paraId="477B5920"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32%</w:t>
            </w:r>
          </w:p>
        </w:tc>
      </w:tr>
      <w:tr w:rsidR="007F24B0" w:rsidRPr="007F24B0" w14:paraId="7C0F6CAE" w14:textId="77777777" w:rsidTr="007F24B0">
        <w:trPr>
          <w:trHeight w:val="282"/>
        </w:trPr>
        <w:tc>
          <w:tcPr>
            <w:tcW w:w="3000" w:type="dxa"/>
            <w:noWrap/>
            <w:vAlign w:val="bottom"/>
            <w:hideMark/>
          </w:tcPr>
          <w:p w14:paraId="242C5494" w14:textId="77777777" w:rsidR="007F24B0" w:rsidRPr="007F24B0" w:rsidRDefault="007F24B0" w:rsidP="007F24B0">
            <w:pPr>
              <w:spacing w:after="0" w:line="240" w:lineRule="auto"/>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ICT</w:t>
            </w:r>
          </w:p>
        </w:tc>
        <w:tc>
          <w:tcPr>
            <w:tcW w:w="1448" w:type="dxa"/>
            <w:noWrap/>
            <w:vAlign w:val="bottom"/>
            <w:hideMark/>
          </w:tcPr>
          <w:p w14:paraId="53B58AB4"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881</w:t>
            </w:r>
          </w:p>
        </w:tc>
        <w:tc>
          <w:tcPr>
            <w:tcW w:w="1352" w:type="dxa"/>
            <w:noWrap/>
            <w:vAlign w:val="bottom"/>
            <w:hideMark/>
          </w:tcPr>
          <w:p w14:paraId="76970C88"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6%</w:t>
            </w:r>
          </w:p>
        </w:tc>
        <w:tc>
          <w:tcPr>
            <w:tcW w:w="1460" w:type="dxa"/>
            <w:noWrap/>
            <w:vAlign w:val="bottom"/>
            <w:hideMark/>
          </w:tcPr>
          <w:p w14:paraId="1BC8A1E3"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 xml:space="preserve"> £105.75 </w:t>
            </w:r>
          </w:p>
        </w:tc>
        <w:tc>
          <w:tcPr>
            <w:tcW w:w="1360" w:type="dxa"/>
            <w:noWrap/>
            <w:vAlign w:val="bottom"/>
            <w:hideMark/>
          </w:tcPr>
          <w:p w14:paraId="7AF74B44"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6%</w:t>
            </w:r>
          </w:p>
        </w:tc>
      </w:tr>
      <w:tr w:rsidR="007F24B0" w:rsidRPr="007F24B0" w14:paraId="353A56D5" w14:textId="77777777" w:rsidTr="007F24B0">
        <w:trPr>
          <w:trHeight w:val="282"/>
        </w:trPr>
        <w:tc>
          <w:tcPr>
            <w:tcW w:w="3000" w:type="dxa"/>
            <w:noWrap/>
            <w:vAlign w:val="bottom"/>
            <w:hideMark/>
          </w:tcPr>
          <w:p w14:paraId="76C94E83" w14:textId="77777777" w:rsidR="007F24B0" w:rsidRPr="007F24B0" w:rsidRDefault="007F24B0" w:rsidP="007F24B0">
            <w:pPr>
              <w:spacing w:after="0" w:line="240" w:lineRule="auto"/>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Other Electrical Equipment</w:t>
            </w:r>
          </w:p>
        </w:tc>
        <w:tc>
          <w:tcPr>
            <w:tcW w:w="1448" w:type="dxa"/>
            <w:noWrap/>
            <w:vAlign w:val="bottom"/>
            <w:hideMark/>
          </w:tcPr>
          <w:p w14:paraId="23D5E8CF"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2,448</w:t>
            </w:r>
          </w:p>
        </w:tc>
        <w:tc>
          <w:tcPr>
            <w:tcW w:w="1352" w:type="dxa"/>
            <w:noWrap/>
            <w:vAlign w:val="bottom"/>
            <w:hideMark/>
          </w:tcPr>
          <w:p w14:paraId="6051125B"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17%</w:t>
            </w:r>
          </w:p>
        </w:tc>
        <w:tc>
          <w:tcPr>
            <w:tcW w:w="1460" w:type="dxa"/>
            <w:noWrap/>
            <w:vAlign w:val="bottom"/>
            <w:hideMark/>
          </w:tcPr>
          <w:p w14:paraId="213A2000"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 xml:space="preserve"> £293.76 </w:t>
            </w:r>
          </w:p>
        </w:tc>
        <w:tc>
          <w:tcPr>
            <w:tcW w:w="1360" w:type="dxa"/>
            <w:noWrap/>
            <w:vAlign w:val="bottom"/>
            <w:hideMark/>
          </w:tcPr>
          <w:p w14:paraId="4DEA6BE7"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17%</w:t>
            </w:r>
          </w:p>
        </w:tc>
      </w:tr>
      <w:tr w:rsidR="007F24B0" w:rsidRPr="007F24B0" w14:paraId="6AE1E16B" w14:textId="77777777" w:rsidTr="007F24B0">
        <w:trPr>
          <w:trHeight w:val="282"/>
        </w:trPr>
        <w:tc>
          <w:tcPr>
            <w:tcW w:w="3000" w:type="dxa"/>
            <w:noWrap/>
            <w:vAlign w:val="bottom"/>
            <w:hideMark/>
          </w:tcPr>
          <w:p w14:paraId="1A220206" w14:textId="77777777" w:rsidR="007F24B0" w:rsidRPr="007F24B0" w:rsidRDefault="007F24B0" w:rsidP="007F24B0">
            <w:pPr>
              <w:spacing w:after="0" w:line="240" w:lineRule="auto"/>
              <w:rPr>
                <w:rFonts w:ascii="Calibri" w:eastAsia="Times New Roman" w:hAnsi="Calibri" w:cs="Calibri"/>
                <w:b/>
                <w:bCs/>
                <w:sz w:val="18"/>
                <w:szCs w:val="18"/>
                <w:lang w:eastAsia="en-GB"/>
              </w:rPr>
            </w:pPr>
            <w:r w:rsidRPr="007F24B0">
              <w:rPr>
                <w:rFonts w:ascii="Calibri" w:eastAsia="Times New Roman" w:hAnsi="Calibri" w:cs="Calibri"/>
                <w:b/>
                <w:bCs/>
                <w:sz w:val="18"/>
                <w:szCs w:val="18"/>
                <w:lang w:eastAsia="en-GB"/>
              </w:rPr>
              <w:t>Total (Significant Energy Users)</w:t>
            </w:r>
          </w:p>
        </w:tc>
        <w:tc>
          <w:tcPr>
            <w:tcW w:w="1448" w:type="dxa"/>
            <w:noWrap/>
            <w:vAlign w:val="bottom"/>
            <w:hideMark/>
          </w:tcPr>
          <w:p w14:paraId="25B44F16" w14:textId="77777777" w:rsidR="007F24B0" w:rsidRPr="007F24B0" w:rsidRDefault="007F24B0" w:rsidP="007F24B0">
            <w:pPr>
              <w:spacing w:after="0" w:line="240" w:lineRule="auto"/>
              <w:jc w:val="right"/>
              <w:rPr>
                <w:rFonts w:ascii="Calibri" w:eastAsia="Times New Roman" w:hAnsi="Calibri" w:cs="Calibri"/>
                <w:b/>
                <w:bCs/>
                <w:sz w:val="18"/>
                <w:szCs w:val="18"/>
                <w:lang w:eastAsia="en-GB"/>
              </w:rPr>
            </w:pPr>
            <w:r w:rsidRPr="007F24B0">
              <w:rPr>
                <w:rFonts w:ascii="Calibri" w:eastAsia="Times New Roman" w:hAnsi="Calibri" w:cs="Calibri"/>
                <w:b/>
                <w:bCs/>
                <w:sz w:val="18"/>
                <w:szCs w:val="18"/>
                <w:lang w:eastAsia="en-GB"/>
              </w:rPr>
              <w:t>14,724</w:t>
            </w:r>
          </w:p>
        </w:tc>
        <w:tc>
          <w:tcPr>
            <w:tcW w:w="1352" w:type="dxa"/>
            <w:noWrap/>
            <w:vAlign w:val="bottom"/>
            <w:hideMark/>
          </w:tcPr>
          <w:p w14:paraId="114ACD98" w14:textId="77777777" w:rsidR="007F24B0" w:rsidRPr="007F24B0" w:rsidRDefault="007F24B0" w:rsidP="007F24B0">
            <w:pPr>
              <w:spacing w:after="0" w:line="240" w:lineRule="auto"/>
              <w:jc w:val="right"/>
              <w:rPr>
                <w:rFonts w:ascii="Calibri" w:eastAsia="Times New Roman" w:hAnsi="Calibri" w:cs="Calibri"/>
                <w:b/>
                <w:bCs/>
                <w:sz w:val="18"/>
                <w:szCs w:val="18"/>
                <w:lang w:eastAsia="en-GB"/>
              </w:rPr>
            </w:pPr>
            <w:r w:rsidRPr="007F24B0">
              <w:rPr>
                <w:rFonts w:ascii="Calibri" w:eastAsia="Times New Roman" w:hAnsi="Calibri" w:cs="Calibri"/>
                <w:b/>
                <w:bCs/>
                <w:sz w:val="18"/>
                <w:szCs w:val="18"/>
                <w:lang w:eastAsia="en-GB"/>
              </w:rPr>
              <w:t>100%</w:t>
            </w:r>
          </w:p>
        </w:tc>
        <w:tc>
          <w:tcPr>
            <w:tcW w:w="1460" w:type="dxa"/>
            <w:noWrap/>
            <w:vAlign w:val="bottom"/>
            <w:hideMark/>
          </w:tcPr>
          <w:p w14:paraId="7DBE0872" w14:textId="77777777" w:rsidR="007F24B0" w:rsidRPr="007F24B0" w:rsidRDefault="007F24B0" w:rsidP="007F24B0">
            <w:pPr>
              <w:spacing w:after="0" w:line="240" w:lineRule="auto"/>
              <w:jc w:val="right"/>
              <w:rPr>
                <w:rFonts w:ascii="Calibri" w:eastAsia="Times New Roman" w:hAnsi="Calibri" w:cs="Calibri"/>
                <w:b/>
                <w:bCs/>
                <w:sz w:val="18"/>
                <w:szCs w:val="18"/>
                <w:lang w:eastAsia="en-GB"/>
              </w:rPr>
            </w:pPr>
            <w:r w:rsidRPr="007F24B0">
              <w:rPr>
                <w:rFonts w:ascii="Calibri" w:eastAsia="Times New Roman" w:hAnsi="Calibri" w:cs="Calibri"/>
                <w:b/>
                <w:bCs/>
                <w:sz w:val="18"/>
                <w:szCs w:val="18"/>
                <w:lang w:eastAsia="en-GB"/>
              </w:rPr>
              <w:t xml:space="preserve"> £1,766.93 </w:t>
            </w:r>
          </w:p>
        </w:tc>
        <w:tc>
          <w:tcPr>
            <w:tcW w:w="1360" w:type="dxa"/>
            <w:noWrap/>
            <w:vAlign w:val="bottom"/>
            <w:hideMark/>
          </w:tcPr>
          <w:p w14:paraId="7E570182" w14:textId="77777777" w:rsidR="007F24B0" w:rsidRPr="007F24B0" w:rsidRDefault="007F24B0" w:rsidP="007F24B0">
            <w:pPr>
              <w:spacing w:after="0" w:line="240" w:lineRule="auto"/>
              <w:jc w:val="right"/>
              <w:rPr>
                <w:rFonts w:ascii="Calibri" w:eastAsia="Times New Roman" w:hAnsi="Calibri" w:cs="Calibri"/>
                <w:sz w:val="18"/>
                <w:szCs w:val="18"/>
                <w:lang w:eastAsia="en-GB"/>
              </w:rPr>
            </w:pPr>
            <w:r w:rsidRPr="007F24B0">
              <w:rPr>
                <w:rFonts w:ascii="Calibri" w:eastAsia="Times New Roman" w:hAnsi="Calibri" w:cs="Calibri"/>
                <w:sz w:val="18"/>
                <w:szCs w:val="18"/>
                <w:lang w:eastAsia="en-GB"/>
              </w:rPr>
              <w:t>100%</w:t>
            </w:r>
          </w:p>
        </w:tc>
      </w:tr>
    </w:tbl>
    <w:p w14:paraId="2EAE4214" w14:textId="77FA8088" w:rsidR="00C62AEE" w:rsidRDefault="00C62AEE" w:rsidP="00C62AEE">
      <w:pPr>
        <w:spacing w:after="0"/>
        <w:rPr>
          <w:b/>
        </w:rPr>
      </w:pPr>
    </w:p>
    <w:p w14:paraId="610EF939" w14:textId="5864F4E6" w:rsidR="00D72882" w:rsidRPr="006516B9" w:rsidRDefault="00271BB5" w:rsidP="00D72882">
      <w:pPr>
        <w:rPr>
          <w:b/>
        </w:rPr>
      </w:pPr>
      <w:r w:rsidRPr="006516B9">
        <w:rPr>
          <w:b/>
        </w:rPr>
        <w:t>Key energy efficiency opportunities</w:t>
      </w: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19"/>
        <w:gridCol w:w="2763"/>
        <w:gridCol w:w="1478"/>
        <w:gridCol w:w="2207"/>
        <w:gridCol w:w="1458"/>
        <w:gridCol w:w="1559"/>
        <w:gridCol w:w="1418"/>
        <w:gridCol w:w="1339"/>
      </w:tblGrid>
      <w:tr w:rsidR="00C62AEE" w:rsidRPr="00C62AEE" w14:paraId="68C7C7FA" w14:textId="77777777" w:rsidTr="00C62AEE">
        <w:trPr>
          <w:trHeight w:val="492"/>
        </w:trPr>
        <w:tc>
          <w:tcPr>
            <w:tcW w:w="2619" w:type="dxa"/>
            <w:vAlign w:val="center"/>
            <w:hideMark/>
          </w:tcPr>
          <w:p w14:paraId="3BB7D150"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Location/opportunity type</w:t>
            </w:r>
          </w:p>
        </w:tc>
        <w:tc>
          <w:tcPr>
            <w:tcW w:w="2763" w:type="dxa"/>
            <w:vAlign w:val="center"/>
            <w:hideMark/>
          </w:tcPr>
          <w:p w14:paraId="15E5AC01"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Current equipment</w:t>
            </w:r>
          </w:p>
        </w:tc>
        <w:tc>
          <w:tcPr>
            <w:tcW w:w="1478" w:type="dxa"/>
            <w:vAlign w:val="center"/>
            <w:hideMark/>
          </w:tcPr>
          <w:p w14:paraId="27044FD9"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Current annual energy cost</w:t>
            </w:r>
          </w:p>
        </w:tc>
        <w:tc>
          <w:tcPr>
            <w:tcW w:w="2207" w:type="dxa"/>
            <w:vAlign w:val="center"/>
            <w:hideMark/>
          </w:tcPr>
          <w:p w14:paraId="6B77F51F" w14:textId="29E2A8E9"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Proposed replacement</w:t>
            </w:r>
            <w:r w:rsidR="009A5CD1">
              <w:rPr>
                <w:rFonts w:ascii="Arial" w:eastAsia="Times New Roman" w:hAnsi="Arial" w:cs="Arial"/>
                <w:b/>
                <w:bCs/>
                <w:sz w:val="20"/>
                <w:szCs w:val="20"/>
                <w:lang w:eastAsia="en-GB"/>
              </w:rPr>
              <w:t>/ alternative option</w:t>
            </w:r>
          </w:p>
        </w:tc>
        <w:tc>
          <w:tcPr>
            <w:tcW w:w="1458" w:type="dxa"/>
            <w:vAlign w:val="center"/>
            <w:hideMark/>
          </w:tcPr>
          <w:p w14:paraId="7403966D"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New annual energy cost</w:t>
            </w:r>
          </w:p>
        </w:tc>
        <w:tc>
          <w:tcPr>
            <w:tcW w:w="1559" w:type="dxa"/>
            <w:vAlign w:val="center"/>
            <w:hideMark/>
          </w:tcPr>
          <w:p w14:paraId="48AED0A7"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Replacement cost (£ Inc VAT)</w:t>
            </w:r>
          </w:p>
        </w:tc>
        <w:tc>
          <w:tcPr>
            <w:tcW w:w="1418" w:type="dxa"/>
            <w:vAlign w:val="center"/>
            <w:hideMark/>
          </w:tcPr>
          <w:p w14:paraId="758776A6" w14:textId="2205E10F" w:rsidR="00C62AEE" w:rsidRPr="00C62AEE" w:rsidRDefault="00987763" w:rsidP="00C62AEE">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Estimated annual</w:t>
            </w:r>
            <w:r w:rsidR="00C62AEE" w:rsidRPr="00C62AEE">
              <w:rPr>
                <w:rFonts w:ascii="Arial" w:eastAsia="Times New Roman" w:hAnsi="Arial" w:cs="Arial"/>
                <w:b/>
                <w:bCs/>
                <w:sz w:val="20"/>
                <w:szCs w:val="20"/>
                <w:lang w:eastAsia="en-GB"/>
              </w:rPr>
              <w:t xml:space="preserve"> energy savings</w:t>
            </w:r>
          </w:p>
        </w:tc>
        <w:tc>
          <w:tcPr>
            <w:tcW w:w="1339" w:type="dxa"/>
            <w:vAlign w:val="center"/>
            <w:hideMark/>
          </w:tcPr>
          <w:p w14:paraId="68DFB24B" w14:textId="77777777" w:rsidR="00C62AEE" w:rsidRPr="00C62AEE" w:rsidRDefault="00C62AEE" w:rsidP="00C62AEE">
            <w:pPr>
              <w:spacing w:after="0" w:line="240" w:lineRule="auto"/>
              <w:jc w:val="center"/>
              <w:rPr>
                <w:rFonts w:ascii="Arial" w:eastAsia="Times New Roman" w:hAnsi="Arial" w:cs="Arial"/>
                <w:b/>
                <w:bCs/>
                <w:sz w:val="20"/>
                <w:szCs w:val="20"/>
                <w:lang w:eastAsia="en-GB"/>
              </w:rPr>
            </w:pPr>
            <w:r w:rsidRPr="00C62AEE">
              <w:rPr>
                <w:rFonts w:ascii="Arial" w:eastAsia="Times New Roman" w:hAnsi="Arial" w:cs="Arial"/>
                <w:b/>
                <w:bCs/>
                <w:sz w:val="20"/>
                <w:szCs w:val="20"/>
                <w:lang w:eastAsia="en-GB"/>
              </w:rPr>
              <w:t>Investment break even (years)</w:t>
            </w:r>
          </w:p>
        </w:tc>
      </w:tr>
      <w:tr w:rsidR="00C62AEE" w:rsidRPr="00C62AEE" w14:paraId="57BC2828" w14:textId="77777777" w:rsidTr="007F24B0">
        <w:trPr>
          <w:trHeight w:val="492"/>
        </w:trPr>
        <w:tc>
          <w:tcPr>
            <w:tcW w:w="2619" w:type="dxa"/>
            <w:vAlign w:val="center"/>
          </w:tcPr>
          <w:p w14:paraId="534FAEC4" w14:textId="6838AAFE" w:rsidR="00C62AEE" w:rsidRPr="00C62AEE" w:rsidRDefault="007F24B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Shop floor spot lights</w:t>
            </w:r>
          </w:p>
        </w:tc>
        <w:tc>
          <w:tcPr>
            <w:tcW w:w="2763" w:type="dxa"/>
            <w:vAlign w:val="center"/>
          </w:tcPr>
          <w:p w14:paraId="32F07317" w14:textId="122861DD" w:rsidR="00C62AEE" w:rsidRPr="00C62AEE" w:rsidRDefault="007F24B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70w metal halide GU12 spotlights (x22)</w:t>
            </w:r>
          </w:p>
        </w:tc>
        <w:tc>
          <w:tcPr>
            <w:tcW w:w="1478" w:type="dxa"/>
            <w:vAlign w:val="center"/>
          </w:tcPr>
          <w:p w14:paraId="4D7C03AF" w14:textId="2436D97B" w:rsidR="00C62AEE" w:rsidRPr="00C62AEE" w:rsidRDefault="007F24B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£670 (approx..)</w:t>
            </w:r>
          </w:p>
        </w:tc>
        <w:tc>
          <w:tcPr>
            <w:tcW w:w="2207" w:type="dxa"/>
            <w:vAlign w:val="center"/>
          </w:tcPr>
          <w:p w14:paraId="29A6319C" w14:textId="6054FB77" w:rsidR="00C62AEE" w:rsidRPr="00C62AEE" w:rsidRDefault="007F24B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 (22w equivalent) LED spotlights</w:t>
            </w:r>
            <w:r w:rsidR="009A5CD1">
              <w:rPr>
                <w:rStyle w:val="FootnoteReference"/>
                <w:rFonts w:ascii="Arial" w:eastAsia="Times New Roman" w:hAnsi="Arial" w:cs="Arial"/>
                <w:sz w:val="20"/>
                <w:szCs w:val="20"/>
                <w:lang w:eastAsia="en-GB"/>
              </w:rPr>
              <w:footnoteReference w:id="1"/>
            </w:r>
          </w:p>
        </w:tc>
        <w:tc>
          <w:tcPr>
            <w:tcW w:w="1458" w:type="dxa"/>
            <w:vAlign w:val="center"/>
          </w:tcPr>
          <w:p w14:paraId="67C9E9C3" w14:textId="579FC583" w:rsidR="00C62AEE" w:rsidRPr="00C62AEE" w:rsidRDefault="007F24B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£100 (approx.)</w:t>
            </w:r>
          </w:p>
        </w:tc>
        <w:tc>
          <w:tcPr>
            <w:tcW w:w="1559" w:type="dxa"/>
            <w:vAlign w:val="center"/>
          </w:tcPr>
          <w:p w14:paraId="4819D19B" w14:textId="4444AD6C" w:rsidR="00C62AEE" w:rsidRPr="00C62AEE" w:rsidRDefault="007F24B0"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£830 (approx.) (£</w:t>
            </w:r>
            <w:r w:rsidR="009A5CD1">
              <w:rPr>
                <w:rFonts w:ascii="Arial" w:eastAsia="Times New Roman" w:hAnsi="Arial" w:cs="Arial"/>
                <w:sz w:val="20"/>
                <w:szCs w:val="20"/>
                <w:lang w:eastAsia="en-GB"/>
              </w:rPr>
              <w:t>37.79 per lamp)</w:t>
            </w:r>
          </w:p>
        </w:tc>
        <w:tc>
          <w:tcPr>
            <w:tcW w:w="1418" w:type="dxa"/>
            <w:vAlign w:val="center"/>
          </w:tcPr>
          <w:p w14:paraId="218AF323" w14:textId="4BF4BE8F" w:rsidR="00C62AEE" w:rsidRPr="00C62AEE" w:rsidRDefault="009A5CD1" w:rsidP="00336E17">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£570 (approx.)</w:t>
            </w:r>
          </w:p>
        </w:tc>
        <w:tc>
          <w:tcPr>
            <w:tcW w:w="1339" w:type="dxa"/>
            <w:vAlign w:val="center"/>
          </w:tcPr>
          <w:p w14:paraId="6A9E58A8" w14:textId="79835D00" w:rsidR="00C62AEE" w:rsidRPr="00C62AEE" w:rsidRDefault="009A5CD1"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 years</w:t>
            </w:r>
          </w:p>
        </w:tc>
      </w:tr>
      <w:tr w:rsidR="00C62AEE" w:rsidRPr="00C62AEE" w14:paraId="14284984" w14:textId="77777777" w:rsidTr="007F24B0">
        <w:trPr>
          <w:trHeight w:val="492"/>
        </w:trPr>
        <w:tc>
          <w:tcPr>
            <w:tcW w:w="2619" w:type="dxa"/>
            <w:vAlign w:val="center"/>
          </w:tcPr>
          <w:p w14:paraId="685D5B6C" w14:textId="7B2CF23E" w:rsidR="00C62AEE" w:rsidRPr="00C62AEE" w:rsidRDefault="00594E03"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Shop floor</w:t>
            </w:r>
          </w:p>
        </w:tc>
        <w:tc>
          <w:tcPr>
            <w:tcW w:w="2763" w:type="dxa"/>
            <w:vAlign w:val="center"/>
          </w:tcPr>
          <w:p w14:paraId="608936B8" w14:textId="7CBD70DE" w:rsidR="00C62AEE" w:rsidRPr="00C62AEE" w:rsidRDefault="00594E03"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Limited natural ventilation to shop rear</w:t>
            </w:r>
          </w:p>
        </w:tc>
        <w:tc>
          <w:tcPr>
            <w:tcW w:w="1478" w:type="dxa"/>
            <w:vAlign w:val="center"/>
          </w:tcPr>
          <w:p w14:paraId="0B050DAF" w14:textId="0164BE28" w:rsidR="00C62AEE" w:rsidRPr="00C62AEE" w:rsidRDefault="00594E03"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TBC</w:t>
            </w:r>
          </w:p>
        </w:tc>
        <w:tc>
          <w:tcPr>
            <w:tcW w:w="2207" w:type="dxa"/>
            <w:vAlign w:val="center"/>
          </w:tcPr>
          <w:p w14:paraId="5BEAA812" w14:textId="1D863275" w:rsidR="00C62AEE" w:rsidRPr="00C62AEE" w:rsidRDefault="00594E03"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Improved ventilation</w:t>
            </w:r>
          </w:p>
        </w:tc>
        <w:tc>
          <w:tcPr>
            <w:tcW w:w="1458" w:type="dxa"/>
            <w:vAlign w:val="center"/>
          </w:tcPr>
          <w:p w14:paraId="543EAEE7" w14:textId="3B713892" w:rsidR="00C62AEE" w:rsidRPr="00C62AEE" w:rsidRDefault="00594E03"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TBC</w:t>
            </w:r>
          </w:p>
        </w:tc>
        <w:tc>
          <w:tcPr>
            <w:tcW w:w="1559" w:type="dxa"/>
            <w:vAlign w:val="center"/>
          </w:tcPr>
          <w:p w14:paraId="03C8B122" w14:textId="25475C2C" w:rsidR="00C62AEE" w:rsidRPr="00C62AEE" w:rsidRDefault="00594E03" w:rsidP="000337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TBD</w:t>
            </w:r>
          </w:p>
        </w:tc>
        <w:tc>
          <w:tcPr>
            <w:tcW w:w="1418" w:type="dxa"/>
            <w:vAlign w:val="center"/>
          </w:tcPr>
          <w:p w14:paraId="45401754" w14:textId="449148A1" w:rsidR="00C62AEE" w:rsidRPr="00C62AEE" w:rsidRDefault="00594E03" w:rsidP="00C62AEE">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£200 approx.</w:t>
            </w:r>
          </w:p>
        </w:tc>
        <w:tc>
          <w:tcPr>
            <w:tcW w:w="1339" w:type="dxa"/>
            <w:vAlign w:val="center"/>
          </w:tcPr>
          <w:p w14:paraId="46CBD146" w14:textId="5561DF9B" w:rsidR="00C62AEE" w:rsidRPr="00C62AEE" w:rsidRDefault="00594E03"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TBD</w:t>
            </w:r>
          </w:p>
        </w:tc>
      </w:tr>
      <w:tr w:rsidR="00C62AEE" w:rsidRPr="00C62AEE" w14:paraId="1EFA312C" w14:textId="77777777" w:rsidTr="007F24B0">
        <w:trPr>
          <w:trHeight w:val="492"/>
        </w:trPr>
        <w:tc>
          <w:tcPr>
            <w:tcW w:w="2619" w:type="dxa"/>
            <w:vAlign w:val="center"/>
          </w:tcPr>
          <w:p w14:paraId="4A83F459" w14:textId="61F3AFBA" w:rsidR="00C62AEE" w:rsidRPr="00C62AEE" w:rsidRDefault="009A5CD1"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Shop front</w:t>
            </w:r>
          </w:p>
        </w:tc>
        <w:tc>
          <w:tcPr>
            <w:tcW w:w="2763" w:type="dxa"/>
            <w:vAlign w:val="center"/>
          </w:tcPr>
          <w:p w14:paraId="4341DCF0" w14:textId="509BA9AF" w:rsidR="00C62AEE" w:rsidRPr="00C62AEE" w:rsidRDefault="009A5CD1"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Floor to ceiling window glass (and new door)</w:t>
            </w:r>
          </w:p>
        </w:tc>
        <w:tc>
          <w:tcPr>
            <w:tcW w:w="1478" w:type="dxa"/>
            <w:vAlign w:val="center"/>
          </w:tcPr>
          <w:p w14:paraId="50C5BE86" w14:textId="1AD90D52" w:rsidR="00C62AEE" w:rsidRPr="00C62AEE" w:rsidRDefault="009A5CD1"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TBC</w:t>
            </w:r>
          </w:p>
        </w:tc>
        <w:tc>
          <w:tcPr>
            <w:tcW w:w="2207" w:type="dxa"/>
            <w:vAlign w:val="center"/>
          </w:tcPr>
          <w:p w14:paraId="4D2B04A1" w14:textId="505BA7A5" w:rsidR="00C62AEE" w:rsidRPr="00C62AEE" w:rsidRDefault="009A5CD1"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Replace window glass with Low E glass.  Replace awning with </w:t>
            </w:r>
          </w:p>
        </w:tc>
        <w:tc>
          <w:tcPr>
            <w:tcW w:w="1458" w:type="dxa"/>
            <w:vAlign w:val="center"/>
          </w:tcPr>
          <w:p w14:paraId="065D6830" w14:textId="10CD05AE" w:rsidR="00C62AEE" w:rsidRPr="00C62AEE" w:rsidRDefault="009A5CD1"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TBC</w:t>
            </w:r>
          </w:p>
        </w:tc>
        <w:tc>
          <w:tcPr>
            <w:tcW w:w="1559" w:type="dxa"/>
            <w:vAlign w:val="center"/>
          </w:tcPr>
          <w:p w14:paraId="4872A8CB" w14:textId="0D3A5262" w:rsidR="00C62AEE" w:rsidRPr="00C62AEE" w:rsidRDefault="009A5CD1"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TBC (significant)</w:t>
            </w:r>
          </w:p>
        </w:tc>
        <w:tc>
          <w:tcPr>
            <w:tcW w:w="1418" w:type="dxa"/>
            <w:vAlign w:val="center"/>
          </w:tcPr>
          <w:p w14:paraId="71C245CA" w14:textId="47AFCF70" w:rsidR="00C62AEE" w:rsidRPr="00C62AEE" w:rsidRDefault="002B3704" w:rsidP="00C62AEE">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TBC</w:t>
            </w:r>
          </w:p>
        </w:tc>
        <w:tc>
          <w:tcPr>
            <w:tcW w:w="1339" w:type="dxa"/>
            <w:vAlign w:val="center"/>
          </w:tcPr>
          <w:p w14:paraId="44FC529D" w14:textId="78A72CC4" w:rsidR="00C62AEE" w:rsidRPr="00C62AEE" w:rsidRDefault="002B3704" w:rsidP="00C62A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TBC</w:t>
            </w:r>
          </w:p>
        </w:tc>
      </w:tr>
    </w:tbl>
    <w:p w14:paraId="181E7251" w14:textId="796C000E" w:rsidR="007F24B0" w:rsidRDefault="007F24B0" w:rsidP="00381363">
      <w:pPr>
        <w:rPr>
          <w:b/>
        </w:rPr>
      </w:pPr>
      <w:bookmarkStart w:id="1" w:name="_GoBack"/>
      <w:bookmarkEnd w:id="0"/>
      <w:bookmarkEnd w:id="1"/>
    </w:p>
    <w:sectPr w:rsidR="007F24B0" w:rsidSect="00D75033">
      <w:pgSz w:w="16838" w:h="11906" w:orient="landscape"/>
      <w:pgMar w:top="1440" w:right="1440" w:bottom="568"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0526" w14:textId="77777777" w:rsidR="00650B97" w:rsidRDefault="00650B97" w:rsidP="00D75033">
      <w:pPr>
        <w:spacing w:after="0" w:line="240" w:lineRule="auto"/>
      </w:pPr>
      <w:r>
        <w:separator/>
      </w:r>
    </w:p>
  </w:endnote>
  <w:endnote w:type="continuationSeparator" w:id="0">
    <w:p w14:paraId="2BE2CBFE" w14:textId="77777777" w:rsidR="00650B97" w:rsidRDefault="00650B97" w:rsidP="00D7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BA05B" w14:textId="77777777" w:rsidR="00650B97" w:rsidRDefault="00650B97" w:rsidP="00D75033">
      <w:pPr>
        <w:spacing w:after="0" w:line="240" w:lineRule="auto"/>
      </w:pPr>
      <w:r>
        <w:separator/>
      </w:r>
    </w:p>
  </w:footnote>
  <w:footnote w:type="continuationSeparator" w:id="0">
    <w:p w14:paraId="6B5259C0" w14:textId="77777777" w:rsidR="00650B97" w:rsidRDefault="00650B97" w:rsidP="00D75033">
      <w:pPr>
        <w:spacing w:after="0" w:line="240" w:lineRule="auto"/>
      </w:pPr>
      <w:r>
        <w:continuationSeparator/>
      </w:r>
    </w:p>
  </w:footnote>
  <w:footnote w:id="1">
    <w:p w14:paraId="373FF599" w14:textId="353DE8F1" w:rsidR="009A5CD1" w:rsidRPr="002B3704" w:rsidRDefault="009A5CD1">
      <w:pPr>
        <w:pStyle w:val="FootnoteText"/>
        <w:rPr>
          <w:sz w:val="18"/>
        </w:rPr>
      </w:pPr>
      <w:r>
        <w:rPr>
          <w:rStyle w:val="FootnoteReference"/>
        </w:rPr>
        <w:footnoteRef/>
      </w:r>
      <w:r>
        <w:t xml:space="preserve"> </w:t>
      </w:r>
      <w:r w:rsidRPr="002B3704">
        <w:rPr>
          <w:sz w:val="18"/>
        </w:rPr>
        <w:t xml:space="preserve">Note, the maximum brightness LED equivalents are less bright than the current metal halide bulbs (22w vs. 70w), which may mean that for some or all of the lights, the replacement will not be suitable.  It is recommended to test one bulb before committing to purchase of other bulbs.  It may be that they are suitable for lamps nearer the front of the shop where the natural light is brighter than at the rear of the shop. If they are not suitable, it is worth checking LED G12 developments as brighter models are becoming available.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2"/>
    <w:rsid w:val="000337C5"/>
    <w:rsid w:val="00085A5B"/>
    <w:rsid w:val="000A32A0"/>
    <w:rsid w:val="000A4F7B"/>
    <w:rsid w:val="000B6CBC"/>
    <w:rsid w:val="001D766B"/>
    <w:rsid w:val="002130EE"/>
    <w:rsid w:val="00246E83"/>
    <w:rsid w:val="00271BB5"/>
    <w:rsid w:val="002B0DEC"/>
    <w:rsid w:val="002B3704"/>
    <w:rsid w:val="002C3046"/>
    <w:rsid w:val="002D7A3F"/>
    <w:rsid w:val="002E6779"/>
    <w:rsid w:val="00303D0D"/>
    <w:rsid w:val="00336E17"/>
    <w:rsid w:val="00381363"/>
    <w:rsid w:val="00405898"/>
    <w:rsid w:val="004A283D"/>
    <w:rsid w:val="004B0B33"/>
    <w:rsid w:val="00505974"/>
    <w:rsid w:val="00514DA9"/>
    <w:rsid w:val="00546204"/>
    <w:rsid w:val="00564156"/>
    <w:rsid w:val="00594E03"/>
    <w:rsid w:val="005A146B"/>
    <w:rsid w:val="00650B97"/>
    <w:rsid w:val="006516B9"/>
    <w:rsid w:val="007D60E3"/>
    <w:rsid w:val="007F24B0"/>
    <w:rsid w:val="00891CE0"/>
    <w:rsid w:val="008E2ED0"/>
    <w:rsid w:val="008E5A96"/>
    <w:rsid w:val="00987763"/>
    <w:rsid w:val="009A5CD1"/>
    <w:rsid w:val="00A312AF"/>
    <w:rsid w:val="00A84E11"/>
    <w:rsid w:val="00A976F4"/>
    <w:rsid w:val="00C076F8"/>
    <w:rsid w:val="00C2278B"/>
    <w:rsid w:val="00C34FBA"/>
    <w:rsid w:val="00C62AEE"/>
    <w:rsid w:val="00C81689"/>
    <w:rsid w:val="00D65E0F"/>
    <w:rsid w:val="00D72882"/>
    <w:rsid w:val="00D75033"/>
    <w:rsid w:val="00D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E3321B2"/>
  <w15:chartTrackingRefBased/>
  <w15:docId w15:val="{0F3032DA-7F6B-425B-AA73-DF48188A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8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75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33"/>
  </w:style>
  <w:style w:type="paragraph" w:styleId="Footer">
    <w:name w:val="footer"/>
    <w:basedOn w:val="Normal"/>
    <w:link w:val="FooterChar"/>
    <w:uiPriority w:val="99"/>
    <w:unhideWhenUsed/>
    <w:rsid w:val="00D75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33"/>
  </w:style>
  <w:style w:type="paragraph" w:styleId="BalloonText">
    <w:name w:val="Balloon Text"/>
    <w:basedOn w:val="Normal"/>
    <w:link w:val="BalloonTextChar"/>
    <w:uiPriority w:val="99"/>
    <w:semiHidden/>
    <w:unhideWhenUsed/>
    <w:rsid w:val="00C22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8B"/>
    <w:rPr>
      <w:rFonts w:ascii="Segoe UI" w:hAnsi="Segoe UI" w:cs="Segoe UI"/>
      <w:sz w:val="18"/>
      <w:szCs w:val="18"/>
    </w:rPr>
  </w:style>
  <w:style w:type="paragraph" w:styleId="FootnoteText">
    <w:name w:val="footnote text"/>
    <w:basedOn w:val="Normal"/>
    <w:link w:val="FootnoteTextChar"/>
    <w:uiPriority w:val="99"/>
    <w:semiHidden/>
    <w:unhideWhenUsed/>
    <w:rsid w:val="009A5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CD1"/>
    <w:rPr>
      <w:sz w:val="20"/>
      <w:szCs w:val="20"/>
    </w:rPr>
  </w:style>
  <w:style w:type="character" w:styleId="FootnoteReference">
    <w:name w:val="footnote reference"/>
    <w:basedOn w:val="DefaultParagraphFont"/>
    <w:uiPriority w:val="99"/>
    <w:semiHidden/>
    <w:unhideWhenUsed/>
    <w:rsid w:val="009A5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10407">
      <w:bodyDiv w:val="1"/>
      <w:marLeft w:val="0"/>
      <w:marRight w:val="0"/>
      <w:marTop w:val="0"/>
      <w:marBottom w:val="0"/>
      <w:divBdr>
        <w:top w:val="none" w:sz="0" w:space="0" w:color="auto"/>
        <w:left w:val="none" w:sz="0" w:space="0" w:color="auto"/>
        <w:bottom w:val="none" w:sz="0" w:space="0" w:color="auto"/>
        <w:right w:val="none" w:sz="0" w:space="0" w:color="auto"/>
      </w:divBdr>
    </w:div>
    <w:div w:id="565074105">
      <w:bodyDiv w:val="1"/>
      <w:marLeft w:val="0"/>
      <w:marRight w:val="0"/>
      <w:marTop w:val="0"/>
      <w:marBottom w:val="0"/>
      <w:divBdr>
        <w:top w:val="none" w:sz="0" w:space="0" w:color="auto"/>
        <w:left w:val="none" w:sz="0" w:space="0" w:color="auto"/>
        <w:bottom w:val="none" w:sz="0" w:space="0" w:color="auto"/>
        <w:right w:val="none" w:sz="0" w:space="0" w:color="auto"/>
      </w:divBdr>
    </w:div>
    <w:div w:id="1064599371">
      <w:bodyDiv w:val="1"/>
      <w:marLeft w:val="0"/>
      <w:marRight w:val="0"/>
      <w:marTop w:val="0"/>
      <w:marBottom w:val="0"/>
      <w:divBdr>
        <w:top w:val="none" w:sz="0" w:space="0" w:color="auto"/>
        <w:left w:val="none" w:sz="0" w:space="0" w:color="auto"/>
        <w:bottom w:val="none" w:sz="0" w:space="0" w:color="auto"/>
        <w:right w:val="none" w:sz="0" w:space="0" w:color="auto"/>
      </w:divBdr>
    </w:div>
    <w:div w:id="1415273919">
      <w:bodyDiv w:val="1"/>
      <w:marLeft w:val="0"/>
      <w:marRight w:val="0"/>
      <w:marTop w:val="0"/>
      <w:marBottom w:val="0"/>
      <w:divBdr>
        <w:top w:val="none" w:sz="0" w:space="0" w:color="auto"/>
        <w:left w:val="none" w:sz="0" w:space="0" w:color="auto"/>
        <w:bottom w:val="none" w:sz="0" w:space="0" w:color="auto"/>
        <w:right w:val="none" w:sz="0" w:space="0" w:color="auto"/>
      </w:divBdr>
    </w:div>
    <w:div w:id="1489327428">
      <w:bodyDiv w:val="1"/>
      <w:marLeft w:val="0"/>
      <w:marRight w:val="0"/>
      <w:marTop w:val="0"/>
      <w:marBottom w:val="0"/>
      <w:divBdr>
        <w:top w:val="none" w:sz="0" w:space="0" w:color="auto"/>
        <w:left w:val="none" w:sz="0" w:space="0" w:color="auto"/>
        <w:bottom w:val="none" w:sz="0" w:space="0" w:color="auto"/>
        <w:right w:val="none" w:sz="0" w:space="0" w:color="auto"/>
      </w:divBdr>
    </w:div>
    <w:div w:id="1892187933">
      <w:bodyDiv w:val="1"/>
      <w:marLeft w:val="0"/>
      <w:marRight w:val="0"/>
      <w:marTop w:val="0"/>
      <w:marBottom w:val="0"/>
      <w:divBdr>
        <w:top w:val="none" w:sz="0" w:space="0" w:color="auto"/>
        <w:left w:val="none" w:sz="0" w:space="0" w:color="auto"/>
        <w:bottom w:val="none" w:sz="0" w:space="0" w:color="auto"/>
        <w:right w:val="none" w:sz="0" w:space="0" w:color="auto"/>
      </w:divBdr>
    </w:div>
    <w:div w:id="1921475888">
      <w:bodyDiv w:val="1"/>
      <w:marLeft w:val="0"/>
      <w:marRight w:val="0"/>
      <w:marTop w:val="0"/>
      <w:marBottom w:val="0"/>
      <w:divBdr>
        <w:top w:val="none" w:sz="0" w:space="0" w:color="auto"/>
        <w:left w:val="none" w:sz="0" w:space="0" w:color="auto"/>
        <w:bottom w:val="none" w:sz="0" w:space="0" w:color="auto"/>
        <w:right w:val="none" w:sz="0" w:space="0" w:color="auto"/>
      </w:divBdr>
    </w:div>
    <w:div w:id="19491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ce07e704fc933421/Documents/PhD/BENVGED6%20dissertation/Data%20collection/BB01/BB-01%20Significant-Energy-Users-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IE"/>
              <a:t>Energy Cost Breakdown</a:t>
            </a:r>
          </a:p>
        </c:rich>
      </c:tx>
      <c:layout>
        <c:manualLayout>
          <c:xMode val="edge"/>
          <c:yMode val="edge"/>
          <c:x val="0.28839872140165562"/>
          <c:y val="3.0232591296458309E-2"/>
        </c:manualLayout>
      </c:layout>
      <c:overlay val="0"/>
      <c:spPr>
        <a:noFill/>
        <a:ln w="25400">
          <a:noFill/>
        </a:ln>
      </c:spPr>
    </c:title>
    <c:autoTitleDeleted val="0"/>
    <c:plotArea>
      <c:layout>
        <c:manualLayout>
          <c:layoutTarget val="inner"/>
          <c:xMode val="edge"/>
          <c:yMode val="edge"/>
          <c:x val="0.17653371759902603"/>
          <c:y val="0.17888355317036689"/>
          <c:w val="0.6275006667532097"/>
          <c:h val="0.69286363671860063"/>
        </c:manualLayout>
      </c:layout>
      <c:pieChart>
        <c:varyColors val="1"/>
        <c:ser>
          <c:idx val="0"/>
          <c:order val="0"/>
          <c:dLbls>
            <c:dLbl>
              <c:idx val="4"/>
              <c:delete val="1"/>
              <c:extLst>
                <c:ext xmlns:c15="http://schemas.microsoft.com/office/drawing/2012/chart" uri="{CE6537A1-D6FC-4f65-9D91-7224C49458BB}"/>
                <c:ext xmlns:c16="http://schemas.microsoft.com/office/drawing/2014/chart" uri="{C3380CC4-5D6E-409C-BE32-E72D297353CC}">
                  <c16:uniqueId val="{00000000-CC9B-4361-B9B1-AD3A45149891}"/>
                </c:ext>
              </c:extLst>
            </c:dLbl>
            <c:dLbl>
              <c:idx val="5"/>
              <c:delete val="1"/>
              <c:extLst>
                <c:ext xmlns:c15="http://schemas.microsoft.com/office/drawing/2012/chart" uri="{CE6537A1-D6FC-4f65-9D91-7224C49458BB}"/>
                <c:ext xmlns:c16="http://schemas.microsoft.com/office/drawing/2014/chart" uri="{C3380CC4-5D6E-409C-BE32-E72D297353CC}">
                  <c16:uniqueId val="{00000001-CC9B-4361-B9B1-AD3A45149891}"/>
                </c:ext>
              </c:extLst>
            </c:dLbl>
            <c:dLbl>
              <c:idx val="6"/>
              <c:delete val="1"/>
              <c:extLst>
                <c:ext xmlns:c15="http://schemas.microsoft.com/office/drawing/2012/chart" uri="{CE6537A1-D6FC-4f65-9D91-7224C49458BB}"/>
                <c:ext xmlns:c16="http://schemas.microsoft.com/office/drawing/2014/chart" uri="{C3380CC4-5D6E-409C-BE32-E72D297353CC}">
                  <c16:uniqueId val="{00000002-CC9B-4361-B9B1-AD3A45149891}"/>
                </c:ext>
              </c:extLst>
            </c:dLbl>
            <c:dLbl>
              <c:idx val="7"/>
              <c:delete val="1"/>
              <c:extLst>
                <c:ext xmlns:c15="http://schemas.microsoft.com/office/drawing/2012/chart" uri="{CE6537A1-D6FC-4f65-9D91-7224C49458BB}"/>
                <c:ext xmlns:c16="http://schemas.microsoft.com/office/drawing/2014/chart" uri="{C3380CC4-5D6E-409C-BE32-E72D297353CC}">
                  <c16:uniqueId val="{00000003-CC9B-4361-B9B1-AD3A45149891}"/>
                </c:ext>
              </c:extLst>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'[BB-01 Significant-Energy-Users-V3.xlsx]Summary'!$U$13:$U$23</c:f>
              <c:strCache>
                <c:ptCount val="8"/>
                <c:pt idx="0">
                  <c:v>Lighting</c:v>
                </c:pt>
                <c:pt idx="1">
                  <c:v>HVAC</c:v>
                </c:pt>
                <c:pt idx="2">
                  <c:v>ICT</c:v>
                </c:pt>
                <c:pt idx="3">
                  <c:v>Other Electrical Equipment</c:v>
                </c:pt>
                <c:pt idx="4">
                  <c:v>Boilers</c:v>
                </c:pt>
                <c:pt idx="5">
                  <c:v>Other Thermal</c:v>
                </c:pt>
                <c:pt idx="6">
                  <c:v>Fleet</c:v>
                </c:pt>
                <c:pt idx="7">
                  <c:v>Unaccounted for Shortfall (Excess)</c:v>
                </c:pt>
              </c:strCache>
            </c:strRef>
          </c:cat>
          <c:val>
            <c:numRef>
              <c:f>'[BB-01 Significant-Energy-Users-V3.xlsx]Summary'!$V$13:$V$23</c:f>
              <c:numCache>
                <c:formatCode>_-[$£-809]* #,##0_-;\-[$£-809]* #,##0_-;_-[$£-809]* "-"??_-;_-@_-</c:formatCode>
                <c:ptCount val="8"/>
                <c:pt idx="0">
                  <c:v>805.81499999999983</c:v>
                </c:pt>
                <c:pt idx="1">
                  <c:v>561.6</c:v>
                </c:pt>
                <c:pt idx="2">
                  <c:v>105.75359999999999</c:v>
                </c:pt>
                <c:pt idx="3">
                  <c:v>293.76</c:v>
                </c:pt>
                <c:pt idx="4">
                  <c:v>0</c:v>
                </c:pt>
                <c:pt idx="5">
                  <c:v>0</c:v>
                </c:pt>
                <c:pt idx="6">
                  <c:v>0</c:v>
                </c:pt>
                <c:pt idx="7">
                  <c:v>0</c:v>
                </c:pt>
              </c:numCache>
            </c:numRef>
          </c:val>
          <c:extLst>
            <c:ext xmlns:c16="http://schemas.microsoft.com/office/drawing/2014/chart" uri="{C3380CC4-5D6E-409C-BE32-E72D297353CC}">
              <c16:uniqueId val="{00000004-CC9B-4361-B9B1-AD3A45149891}"/>
            </c:ext>
          </c:extLst>
        </c:ser>
        <c:dLbls>
          <c:showLegendKey val="0"/>
          <c:showVal val="1"/>
          <c:showCatName val="1"/>
          <c:showSerName val="0"/>
          <c:showPercent val="1"/>
          <c:showBubbleSize val="0"/>
          <c:separator>
</c:separator>
          <c:showLeaderLines val="1"/>
        </c:dLbls>
        <c:firstSliceAng val="12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B6E0-64A2-4B69-B9B5-43189E30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Bartlett, UCL</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Kenington</dc:creator>
  <cp:keywords/>
  <dc:description/>
  <cp:lastModifiedBy>David Kenington</cp:lastModifiedBy>
  <cp:revision>2</cp:revision>
  <cp:lastPrinted>2017-08-02T09:57:00Z</cp:lastPrinted>
  <dcterms:created xsi:type="dcterms:W3CDTF">2019-04-10T13:39:00Z</dcterms:created>
  <dcterms:modified xsi:type="dcterms:W3CDTF">2019-04-10T13:39:00Z</dcterms:modified>
</cp:coreProperties>
</file>