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2266D" w14:textId="77777777" w:rsidR="006E1C11" w:rsidRDefault="008278D7" w:rsidP="008278D7">
      <w:pPr>
        <w:pStyle w:val="Title"/>
        <w:jc w:val="center"/>
      </w:pPr>
      <w:r>
        <w:t>Supplementary Material</w:t>
      </w:r>
    </w:p>
    <w:p w14:paraId="2018EA1C" w14:textId="77777777" w:rsidR="008278D7" w:rsidRPr="008278D7" w:rsidRDefault="008278D7" w:rsidP="008278D7"/>
    <w:p w14:paraId="76D9FBBA" w14:textId="77777777" w:rsidR="008278D7" w:rsidRDefault="008278D7" w:rsidP="008278D7"/>
    <w:p w14:paraId="239AFA52" w14:textId="77777777" w:rsidR="008278D7" w:rsidRDefault="008278D7" w:rsidP="008278D7">
      <w:pPr>
        <w:spacing w:after="0"/>
        <w:ind w:left="454"/>
        <w:jc w:val="center"/>
        <w:rPr>
          <w:rFonts w:ascii="Palatino Linotype" w:hAnsi="Palatino Linotype"/>
          <w:sz w:val="32"/>
        </w:rPr>
      </w:pPr>
      <w:r>
        <w:rPr>
          <w:rFonts w:ascii="Palatino Linotype" w:hAnsi="Palatino Linotype"/>
          <w:sz w:val="32"/>
        </w:rPr>
        <w:t>Journal of Environmental Management</w:t>
      </w:r>
    </w:p>
    <w:p w14:paraId="0B81D710" w14:textId="77777777" w:rsidR="008278D7" w:rsidRDefault="008278D7" w:rsidP="008278D7">
      <w:pPr>
        <w:spacing w:after="0"/>
        <w:ind w:left="454"/>
        <w:jc w:val="center"/>
        <w:rPr>
          <w:rFonts w:ascii="Palatino Linotype" w:hAnsi="Palatino Linotype"/>
          <w:sz w:val="32"/>
        </w:rPr>
      </w:pPr>
    </w:p>
    <w:p w14:paraId="0F2427EE" w14:textId="7FBEBEDF" w:rsidR="008278D7" w:rsidRDefault="00261376" w:rsidP="008278D7">
      <w:pPr>
        <w:spacing w:after="0"/>
        <w:ind w:left="454"/>
        <w:jc w:val="center"/>
        <w:rPr>
          <w:rFonts w:ascii="Palatino Linotype" w:hAnsi="Palatino Linotype"/>
          <w:b/>
          <w:sz w:val="32"/>
          <w:lang w:bidi="en-US"/>
        </w:rPr>
      </w:pPr>
      <w:bookmarkStart w:id="0" w:name="_Hlk531094962"/>
      <w:r w:rsidRPr="00261376">
        <w:rPr>
          <w:rFonts w:ascii="Palatino Linotype" w:hAnsi="Palatino Linotype"/>
          <w:b/>
          <w:sz w:val="32"/>
          <w:lang w:bidi="en-US"/>
        </w:rPr>
        <w:t>Development of a pragmatic framework to help food and drink manufacturers select the most sustainable food waste valorisation strategy</w:t>
      </w:r>
      <w:bookmarkEnd w:id="0"/>
      <w:r w:rsidR="008278D7" w:rsidRPr="008278D7">
        <w:rPr>
          <w:rFonts w:ascii="Palatino Linotype" w:hAnsi="Palatino Linotype"/>
          <w:b/>
          <w:sz w:val="32"/>
          <w:lang w:bidi="en-US"/>
        </w:rPr>
        <w:t>.</w:t>
      </w:r>
    </w:p>
    <w:p w14:paraId="791C81E4" w14:textId="77777777" w:rsidR="008278D7" w:rsidRDefault="008278D7" w:rsidP="008278D7">
      <w:pPr>
        <w:spacing w:after="0"/>
        <w:ind w:left="454"/>
        <w:jc w:val="center"/>
        <w:rPr>
          <w:rFonts w:ascii="Palatino Linotype" w:hAnsi="Palatino Linotype"/>
          <w:b/>
          <w:sz w:val="32"/>
          <w:lang w:bidi="en-US"/>
        </w:rPr>
      </w:pPr>
    </w:p>
    <w:p w14:paraId="55AFFD04" w14:textId="490F1DBC" w:rsidR="008278D7" w:rsidRPr="00332DBE" w:rsidRDefault="008278D7" w:rsidP="008278D7">
      <w:pPr>
        <w:adjustRightInd w:val="0"/>
        <w:snapToGrid w:val="0"/>
        <w:spacing w:after="120" w:line="260" w:lineRule="atLeast"/>
        <w:jc w:val="center"/>
        <w:rPr>
          <w:rFonts w:ascii="Palatino Linotype" w:eastAsia="Times New Roman" w:hAnsi="Palatino Linotype" w:cs="Times New Roman"/>
          <w:b/>
          <w:color w:val="000000"/>
          <w:sz w:val="20"/>
          <w:lang w:val="en-US" w:eastAsia="de-DE" w:bidi="en-US"/>
        </w:rPr>
      </w:pPr>
      <w:r w:rsidRPr="00332DBE">
        <w:rPr>
          <w:rFonts w:ascii="Palatino Linotype" w:eastAsia="Times New Roman" w:hAnsi="Palatino Linotype" w:cs="Times New Roman"/>
          <w:b/>
          <w:color w:val="000000"/>
          <w:sz w:val="20"/>
          <w:lang w:val="en-US" w:eastAsia="de-DE" w:bidi="en-US"/>
        </w:rPr>
        <w:t xml:space="preserve">Jamie Stone </w:t>
      </w:r>
      <w:r w:rsidRPr="00332DBE">
        <w:rPr>
          <w:rFonts w:ascii="Palatino Linotype" w:eastAsia="Times New Roman" w:hAnsi="Palatino Linotype" w:cs="Times New Roman"/>
          <w:b/>
          <w:color w:val="000000"/>
          <w:sz w:val="20"/>
          <w:vertAlign w:val="superscript"/>
          <w:lang w:val="en-US" w:eastAsia="de-DE" w:bidi="en-US"/>
        </w:rPr>
        <w:t>1</w:t>
      </w:r>
      <w:r w:rsidRPr="00332DBE">
        <w:rPr>
          <w:rFonts w:ascii="Palatino Linotype" w:eastAsia="Times New Roman" w:hAnsi="Palatino Linotype" w:cs="Times New Roman"/>
          <w:b/>
          <w:color w:val="000000"/>
          <w:sz w:val="20"/>
          <w:lang w:val="en-US" w:eastAsia="de-DE" w:bidi="en-US"/>
        </w:rPr>
        <w:t xml:space="preserve">, Guillermo Garcia-Garcia </w:t>
      </w:r>
      <w:r w:rsidRPr="00332DBE">
        <w:rPr>
          <w:rFonts w:ascii="Palatino Linotype" w:eastAsia="Times New Roman" w:hAnsi="Palatino Linotype" w:cs="Times New Roman"/>
          <w:b/>
          <w:color w:val="000000"/>
          <w:sz w:val="20"/>
          <w:vertAlign w:val="superscript"/>
          <w:lang w:val="en-US" w:eastAsia="de-DE" w:bidi="en-US"/>
        </w:rPr>
        <w:t>2</w:t>
      </w:r>
      <w:r w:rsidRPr="00332DBE">
        <w:rPr>
          <w:rFonts w:ascii="Palatino Linotype" w:eastAsia="Times New Roman" w:hAnsi="Palatino Linotype" w:cs="Times New Roman"/>
          <w:b/>
          <w:color w:val="000000"/>
          <w:sz w:val="20"/>
          <w:lang w:val="en-US" w:eastAsia="de-DE" w:bidi="en-US"/>
        </w:rPr>
        <w:t xml:space="preserve"> and Shahin Rahimifard </w:t>
      </w:r>
      <w:r w:rsidRPr="00332DBE">
        <w:rPr>
          <w:rFonts w:ascii="Palatino Linotype" w:eastAsia="Times New Roman" w:hAnsi="Palatino Linotype" w:cs="Times New Roman"/>
          <w:b/>
          <w:color w:val="000000"/>
          <w:sz w:val="20"/>
          <w:vertAlign w:val="superscript"/>
          <w:lang w:val="en-US" w:eastAsia="de-DE" w:bidi="en-US"/>
        </w:rPr>
        <w:t>3</w:t>
      </w:r>
      <w:r w:rsidR="004A590F">
        <w:rPr>
          <w:rFonts w:ascii="Palatino Linotype" w:eastAsia="Times New Roman" w:hAnsi="Palatino Linotype" w:cs="Times New Roman"/>
          <w:b/>
          <w:color w:val="000000"/>
          <w:sz w:val="20"/>
          <w:vertAlign w:val="superscript"/>
          <w:lang w:val="en-US" w:eastAsia="de-DE" w:bidi="en-US"/>
        </w:rPr>
        <w:t>*</w:t>
      </w:r>
    </w:p>
    <w:p w14:paraId="5B8A5F96" w14:textId="53AD5B42" w:rsidR="008278D7" w:rsidRPr="00332DBE" w:rsidRDefault="008278D7" w:rsidP="008278D7">
      <w:pPr>
        <w:adjustRightInd w:val="0"/>
        <w:snapToGrid w:val="0"/>
        <w:spacing w:after="0" w:line="200" w:lineRule="atLeast"/>
        <w:ind w:left="311" w:hanging="198"/>
        <w:jc w:val="center"/>
        <w:rPr>
          <w:rFonts w:ascii="Palatino Linotype" w:eastAsia="Times New Roman" w:hAnsi="Palatino Linotype" w:cs="Times New Roman"/>
          <w:color w:val="000000"/>
          <w:sz w:val="18"/>
          <w:szCs w:val="18"/>
          <w:lang w:val="en-US" w:eastAsia="de-DE" w:bidi="en-US"/>
        </w:rPr>
      </w:pPr>
      <w:r w:rsidRPr="00332DBE">
        <w:rPr>
          <w:rFonts w:ascii="Palatino Linotype" w:eastAsia="Times New Roman" w:hAnsi="Palatino Linotype" w:cs="Times New Roman"/>
          <w:color w:val="000000"/>
          <w:sz w:val="18"/>
          <w:szCs w:val="18"/>
          <w:vertAlign w:val="superscript"/>
          <w:lang w:val="en-US" w:eastAsia="de-DE" w:bidi="en-US"/>
        </w:rPr>
        <w:t>123</w:t>
      </w:r>
      <w:r w:rsidRPr="00332DBE">
        <w:rPr>
          <w:rFonts w:ascii="Palatino Linotype" w:eastAsia="Times New Roman" w:hAnsi="Palatino Linotype" w:cs="Times New Roman"/>
          <w:color w:val="000000"/>
          <w:sz w:val="18"/>
          <w:szCs w:val="18"/>
          <w:lang w:val="en-US" w:eastAsia="de-DE" w:bidi="en-US"/>
        </w:rPr>
        <w:tab/>
        <w:t xml:space="preserve">Centre for Sustainable Manufacturing and Recycling Technologies, </w:t>
      </w:r>
      <w:r w:rsidR="00261376" w:rsidRPr="00261376">
        <w:rPr>
          <w:rFonts w:ascii="Palatino Linotype" w:eastAsia="Times New Roman" w:hAnsi="Palatino Linotype" w:cs="Times New Roman"/>
          <w:color w:val="000000"/>
          <w:sz w:val="18"/>
          <w:szCs w:val="18"/>
          <w:lang w:val="en-US" w:eastAsia="de-DE" w:bidi="en-US"/>
        </w:rPr>
        <w:t>Wolfson School of Mechanical, Electrical and Manufacturing Engineering</w:t>
      </w:r>
      <w:r w:rsidR="00261376">
        <w:rPr>
          <w:rFonts w:ascii="Palatino Linotype" w:eastAsia="Times New Roman" w:hAnsi="Palatino Linotype" w:cs="Times New Roman"/>
          <w:color w:val="000000"/>
          <w:sz w:val="18"/>
          <w:szCs w:val="18"/>
          <w:lang w:val="en-US" w:eastAsia="de-DE" w:bidi="en-US"/>
        </w:rPr>
        <w:t>,</w:t>
      </w:r>
      <w:r w:rsidR="00261376" w:rsidRPr="00261376">
        <w:rPr>
          <w:rFonts w:ascii="Palatino Linotype" w:eastAsia="Times New Roman" w:hAnsi="Palatino Linotype" w:cs="Times New Roman"/>
          <w:color w:val="000000"/>
          <w:sz w:val="18"/>
          <w:szCs w:val="18"/>
          <w:lang w:val="en-US" w:eastAsia="de-DE" w:bidi="en-US"/>
        </w:rPr>
        <w:t xml:space="preserve"> </w:t>
      </w:r>
      <w:r w:rsidRPr="00332DBE">
        <w:rPr>
          <w:rFonts w:ascii="Palatino Linotype" w:eastAsia="Times New Roman" w:hAnsi="Palatino Linotype" w:cs="Times New Roman"/>
          <w:color w:val="000000"/>
          <w:sz w:val="18"/>
          <w:szCs w:val="18"/>
          <w:lang w:val="en-US" w:eastAsia="de-DE" w:bidi="en-US"/>
        </w:rPr>
        <w:t>Loughborough University,</w:t>
      </w:r>
      <w:r w:rsidRPr="00332DBE">
        <w:rPr>
          <w:rFonts w:ascii="Helvetica" w:eastAsia="Times New Roman" w:hAnsi="Helvetica" w:cs="Helvetica"/>
          <w:color w:val="414141"/>
          <w:sz w:val="21"/>
          <w:szCs w:val="21"/>
          <w:lang w:eastAsia="en-GB" w:bidi="en-US"/>
        </w:rPr>
        <w:t xml:space="preserve"> </w:t>
      </w:r>
      <w:r w:rsidRPr="00332DBE">
        <w:rPr>
          <w:rFonts w:ascii="Palatino Linotype" w:eastAsia="Times New Roman" w:hAnsi="Palatino Linotype" w:cs="Times New Roman"/>
          <w:color w:val="000000"/>
          <w:sz w:val="18"/>
          <w:szCs w:val="18"/>
          <w:lang w:eastAsia="de-DE" w:bidi="en-US"/>
        </w:rPr>
        <w:t>Leicestershire, LE11 3TU, UK</w:t>
      </w:r>
      <w:r w:rsidRPr="00332DBE">
        <w:rPr>
          <w:rFonts w:ascii="Palatino Linotype" w:eastAsia="Times New Roman" w:hAnsi="Palatino Linotype" w:cs="Times New Roman"/>
          <w:color w:val="000000"/>
          <w:sz w:val="18"/>
          <w:szCs w:val="18"/>
          <w:lang w:val="en-US" w:eastAsia="de-DE" w:bidi="en-US"/>
        </w:rPr>
        <w:t xml:space="preserve">; </w:t>
      </w:r>
    </w:p>
    <w:p w14:paraId="6681F53A" w14:textId="168B1040" w:rsidR="008278D7" w:rsidRPr="00332DBE" w:rsidRDefault="008278D7" w:rsidP="008278D7">
      <w:pPr>
        <w:adjustRightInd w:val="0"/>
        <w:snapToGrid w:val="0"/>
        <w:spacing w:after="0" w:line="200" w:lineRule="atLeast"/>
        <w:ind w:left="311" w:hanging="198"/>
        <w:jc w:val="center"/>
        <w:rPr>
          <w:rFonts w:ascii="Palatino Linotype" w:eastAsia="Times New Roman" w:hAnsi="Palatino Linotype" w:cs="Times New Roman"/>
          <w:color w:val="000000"/>
          <w:sz w:val="18"/>
          <w:szCs w:val="18"/>
          <w:lang w:eastAsia="de-DE" w:bidi="en-US"/>
        </w:rPr>
      </w:pPr>
      <w:r w:rsidRPr="00C03686">
        <w:rPr>
          <w:rFonts w:ascii="Palatino Linotype" w:eastAsia="Times New Roman" w:hAnsi="Palatino Linotype" w:cs="Times New Roman"/>
          <w:color w:val="000000"/>
          <w:sz w:val="18"/>
          <w:szCs w:val="18"/>
          <w:lang w:eastAsia="de-DE" w:bidi="en-US"/>
        </w:rPr>
        <w:t xml:space="preserve">* Corresponding author: </w:t>
      </w:r>
      <w:r w:rsidR="0015498D" w:rsidRPr="0015498D">
        <w:rPr>
          <w:rFonts w:ascii="Palatino Linotype" w:eastAsia="Times New Roman" w:hAnsi="Palatino Linotype" w:cs="Times New Roman"/>
          <w:color w:val="000000"/>
          <w:sz w:val="18"/>
          <w:szCs w:val="18"/>
          <w:lang w:eastAsia="de-DE" w:bidi="en-US"/>
        </w:rPr>
        <w:t>S.Rahimifard</w:t>
      </w:r>
      <w:r w:rsidRPr="00C03686">
        <w:rPr>
          <w:rFonts w:ascii="Palatino Linotype" w:eastAsia="Times New Roman" w:hAnsi="Palatino Linotype" w:cs="Times New Roman"/>
          <w:color w:val="000000"/>
          <w:sz w:val="18"/>
          <w:szCs w:val="18"/>
          <w:lang w:eastAsia="de-DE" w:bidi="en-US"/>
        </w:rPr>
        <w:t>@lboro.ac.uk</w:t>
      </w:r>
    </w:p>
    <w:p w14:paraId="22A995F4" w14:textId="77777777" w:rsidR="008278D7" w:rsidRDefault="008278D7" w:rsidP="008278D7">
      <w:pPr>
        <w:spacing w:after="0"/>
        <w:ind w:left="454"/>
        <w:jc w:val="center"/>
        <w:rPr>
          <w:rFonts w:ascii="Palatino Linotype" w:hAnsi="Palatino Linotype"/>
          <w:sz w:val="32"/>
        </w:rPr>
      </w:pPr>
    </w:p>
    <w:p w14:paraId="5EEA69FC" w14:textId="3983A3A1" w:rsidR="003D069F" w:rsidRDefault="001E10BF" w:rsidP="001B7AFF">
      <w:pPr>
        <w:spacing w:after="0"/>
        <w:ind w:left="454"/>
        <w:rPr>
          <w:rFonts w:ascii="Palatino Linotype" w:hAnsi="Palatino Linotype"/>
          <w:sz w:val="20"/>
        </w:rPr>
      </w:pPr>
      <w:r>
        <w:rPr>
          <w:rFonts w:ascii="Palatino Linotype" w:hAnsi="Palatino Linotype"/>
          <w:sz w:val="20"/>
        </w:rPr>
        <w:t xml:space="preserve">This supplementary article is intended to </w:t>
      </w:r>
      <w:r w:rsidR="00FB232C">
        <w:rPr>
          <w:rFonts w:ascii="Palatino Linotype" w:hAnsi="Palatino Linotype"/>
          <w:sz w:val="20"/>
        </w:rPr>
        <w:t>provide additional data that will aid readers in understanding the findings of the paper</w:t>
      </w:r>
      <w:r w:rsidR="005005DE">
        <w:rPr>
          <w:rFonts w:ascii="Palatino Linotype" w:hAnsi="Palatino Linotype"/>
          <w:sz w:val="20"/>
        </w:rPr>
        <w:t xml:space="preserve">. Supplementary information specifically concerns Section 2, the </w:t>
      </w:r>
      <w:r w:rsidR="001B7AFF">
        <w:rPr>
          <w:rFonts w:ascii="Palatino Linotype" w:hAnsi="Palatino Linotype"/>
          <w:sz w:val="20"/>
        </w:rPr>
        <w:t>review methodology, and section 5, the case study demonstration of the SWaVI Framework. This document now presents supplementary data from each of these sections respectively.</w:t>
      </w:r>
    </w:p>
    <w:p w14:paraId="3509F31F" w14:textId="59C0B517" w:rsidR="00FB232C" w:rsidRDefault="00FB232C" w:rsidP="005B34F7">
      <w:pPr>
        <w:spacing w:after="0"/>
        <w:ind w:left="454"/>
        <w:jc w:val="center"/>
        <w:rPr>
          <w:rFonts w:ascii="Palatino Linotype" w:hAnsi="Palatino Linotype"/>
          <w:sz w:val="20"/>
        </w:rPr>
      </w:pPr>
    </w:p>
    <w:p w14:paraId="50F02279" w14:textId="18EB9452" w:rsidR="00FB232C" w:rsidRPr="001B7AFF" w:rsidRDefault="00653EF1" w:rsidP="00FB232C">
      <w:pPr>
        <w:spacing w:after="0"/>
        <w:ind w:left="454"/>
        <w:rPr>
          <w:rFonts w:ascii="Palatino Linotype" w:hAnsi="Palatino Linotype"/>
          <w:b/>
          <w:sz w:val="20"/>
        </w:rPr>
      </w:pPr>
      <w:r w:rsidRPr="001B7AFF">
        <w:rPr>
          <w:rFonts w:ascii="Palatino Linotype" w:hAnsi="Palatino Linotype"/>
          <w:b/>
          <w:sz w:val="20"/>
        </w:rPr>
        <w:t>1</w:t>
      </w:r>
      <w:r w:rsidR="00FB232C" w:rsidRPr="001B7AFF">
        <w:rPr>
          <w:rFonts w:ascii="Palatino Linotype" w:hAnsi="Palatino Linotype"/>
          <w:b/>
          <w:sz w:val="20"/>
        </w:rPr>
        <w:t xml:space="preserve">. </w:t>
      </w:r>
      <w:r w:rsidRPr="001B7AFF">
        <w:rPr>
          <w:rFonts w:ascii="Palatino Linotype" w:hAnsi="Palatino Linotype"/>
          <w:b/>
          <w:sz w:val="20"/>
        </w:rPr>
        <w:t xml:space="preserve">Supplementary Data Regarding Section 2: </w:t>
      </w:r>
      <w:r w:rsidR="00FB232C" w:rsidRPr="001B7AFF">
        <w:rPr>
          <w:rFonts w:ascii="Palatino Linotype" w:hAnsi="Palatino Linotype"/>
          <w:b/>
          <w:sz w:val="20"/>
        </w:rPr>
        <w:t>Review Methodology</w:t>
      </w:r>
    </w:p>
    <w:p w14:paraId="314D5D46" w14:textId="1C2AFD49" w:rsidR="00FB232C" w:rsidRDefault="001B7AFF" w:rsidP="00FB232C">
      <w:pPr>
        <w:spacing w:after="0"/>
        <w:ind w:left="454"/>
        <w:rPr>
          <w:rFonts w:ascii="Palatino Linotype" w:hAnsi="Palatino Linotype"/>
          <w:sz w:val="20"/>
        </w:rPr>
      </w:pPr>
      <w:r>
        <w:rPr>
          <w:rFonts w:ascii="Palatino Linotype" w:hAnsi="Palatino Linotype"/>
          <w:sz w:val="20"/>
        </w:rPr>
        <w:t xml:space="preserve">Section 2 describes a thorough review of the literature describing </w:t>
      </w:r>
      <w:r>
        <w:rPr>
          <w:rFonts w:ascii="Palatino Linotype" w:eastAsia="Times New Roman" w:hAnsi="Palatino Linotype" w:cs="Times New Roman"/>
          <w:snapToGrid w:val="0"/>
          <w:color w:val="000000"/>
          <w:sz w:val="20"/>
          <w:lang w:val="en-US" w:eastAsia="de-DE" w:bidi="en-US"/>
        </w:rPr>
        <w:t>how others have applied various research methodologies to aid in the selection/evaluation of food waste valorisation techniques</w:t>
      </w:r>
      <w:r>
        <w:rPr>
          <w:rFonts w:ascii="Palatino Linotype" w:hAnsi="Palatino Linotype"/>
          <w:sz w:val="20"/>
        </w:rPr>
        <w:t>. The final review list of 43 papers was not included in the main paper for space related reason</w:t>
      </w:r>
      <w:r w:rsidR="0031749C">
        <w:rPr>
          <w:rFonts w:ascii="Palatino Linotype" w:hAnsi="Palatino Linotype"/>
          <w:sz w:val="20"/>
        </w:rPr>
        <w:t>s</w:t>
      </w:r>
      <w:r>
        <w:rPr>
          <w:rFonts w:ascii="Palatino Linotype" w:hAnsi="Palatino Linotype"/>
          <w:sz w:val="20"/>
        </w:rPr>
        <w:t xml:space="preserve"> but is provided below in </w:t>
      </w:r>
      <w:r w:rsidR="00FB232C">
        <w:rPr>
          <w:rFonts w:ascii="Palatino Linotype" w:hAnsi="Palatino Linotype"/>
          <w:sz w:val="20"/>
        </w:rPr>
        <w:t>Table 1</w:t>
      </w:r>
      <w:r>
        <w:rPr>
          <w:rFonts w:ascii="Palatino Linotype" w:hAnsi="Palatino Linotype"/>
          <w:sz w:val="20"/>
        </w:rPr>
        <w:t>.</w:t>
      </w:r>
    </w:p>
    <w:p w14:paraId="6BC2E546" w14:textId="2EE29FDF" w:rsidR="00594D12" w:rsidRDefault="00594D12" w:rsidP="00FB232C">
      <w:pPr>
        <w:spacing w:after="0"/>
        <w:ind w:left="454"/>
        <w:rPr>
          <w:rFonts w:ascii="Palatino Linotype" w:hAnsi="Palatino Linotype"/>
          <w:sz w:val="20"/>
        </w:rPr>
      </w:pPr>
    </w:p>
    <w:p w14:paraId="471C0826" w14:textId="1ADAA180" w:rsidR="00594D12" w:rsidRDefault="00594D12" w:rsidP="00FB232C">
      <w:pPr>
        <w:spacing w:after="0"/>
        <w:ind w:left="454"/>
        <w:rPr>
          <w:rFonts w:ascii="Palatino Linotype" w:hAnsi="Palatino Linotype"/>
          <w:sz w:val="20"/>
        </w:rPr>
      </w:pPr>
      <w:r>
        <w:rPr>
          <w:rFonts w:ascii="Palatino Linotype" w:hAnsi="Palatino Linotype"/>
          <w:sz w:val="20"/>
        </w:rPr>
        <w:t xml:space="preserve">Table 1: </w:t>
      </w:r>
      <w:r w:rsidR="000C57A2">
        <w:rPr>
          <w:rFonts w:ascii="Palatino Linotype" w:hAnsi="Palatino Linotype"/>
          <w:sz w:val="20"/>
        </w:rPr>
        <w:t>Final pool of 4</w:t>
      </w:r>
      <w:r w:rsidR="003509B1">
        <w:rPr>
          <w:rFonts w:ascii="Palatino Linotype" w:hAnsi="Palatino Linotype"/>
          <w:sz w:val="20"/>
        </w:rPr>
        <w:t>3</w:t>
      </w:r>
      <w:r w:rsidR="000C57A2">
        <w:rPr>
          <w:rFonts w:ascii="Palatino Linotype" w:hAnsi="Palatino Linotype"/>
          <w:sz w:val="20"/>
        </w:rPr>
        <w:t xml:space="preserve"> papers identified in the review.</w:t>
      </w:r>
    </w:p>
    <w:p w14:paraId="43C86AF8" w14:textId="7ABC94FD" w:rsidR="00FB232C" w:rsidRDefault="00FB232C" w:rsidP="00FB232C">
      <w:pPr>
        <w:spacing w:after="0"/>
        <w:ind w:left="454"/>
        <w:rPr>
          <w:rFonts w:ascii="Palatino Linotype" w:hAnsi="Palatino Linotype"/>
          <w:sz w:val="20"/>
        </w:rPr>
      </w:pPr>
    </w:p>
    <w:tbl>
      <w:tblPr>
        <w:tblStyle w:val="TableGrid"/>
        <w:tblW w:w="0" w:type="auto"/>
        <w:tblInd w:w="454" w:type="dxa"/>
        <w:tblLook w:val="04A0" w:firstRow="1" w:lastRow="0" w:firstColumn="1" w:lastColumn="0" w:noHBand="0" w:noVBand="1"/>
      </w:tblPr>
      <w:tblGrid>
        <w:gridCol w:w="661"/>
        <w:gridCol w:w="1673"/>
        <w:gridCol w:w="4010"/>
        <w:gridCol w:w="2128"/>
      </w:tblGrid>
      <w:tr w:rsidR="00FB232C" w14:paraId="4C66657F" w14:textId="7FED487D" w:rsidTr="00A05244">
        <w:tc>
          <w:tcPr>
            <w:tcW w:w="661" w:type="dxa"/>
          </w:tcPr>
          <w:p w14:paraId="7ED86D9D" w14:textId="2685BCB8" w:rsidR="00FB232C" w:rsidRDefault="00FB232C" w:rsidP="00FB232C">
            <w:pPr>
              <w:rPr>
                <w:rFonts w:ascii="Palatino Linotype" w:hAnsi="Palatino Linotype"/>
                <w:sz w:val="20"/>
              </w:rPr>
            </w:pPr>
            <w:r>
              <w:rPr>
                <w:rFonts w:ascii="Palatino Linotype" w:hAnsi="Palatino Linotype"/>
                <w:sz w:val="20"/>
              </w:rPr>
              <w:t>Date</w:t>
            </w:r>
          </w:p>
        </w:tc>
        <w:tc>
          <w:tcPr>
            <w:tcW w:w="1673" w:type="dxa"/>
          </w:tcPr>
          <w:p w14:paraId="4FF2245C" w14:textId="0A7ABB9C" w:rsidR="00FB232C" w:rsidRDefault="00FB232C" w:rsidP="00FB232C">
            <w:pPr>
              <w:rPr>
                <w:rFonts w:ascii="Palatino Linotype" w:hAnsi="Palatino Linotype"/>
                <w:sz w:val="20"/>
              </w:rPr>
            </w:pPr>
            <w:r>
              <w:rPr>
                <w:rFonts w:ascii="Palatino Linotype" w:hAnsi="Palatino Linotype"/>
                <w:sz w:val="20"/>
              </w:rPr>
              <w:t>Author</w:t>
            </w:r>
          </w:p>
        </w:tc>
        <w:tc>
          <w:tcPr>
            <w:tcW w:w="4010" w:type="dxa"/>
          </w:tcPr>
          <w:p w14:paraId="1769AEDF" w14:textId="7BBDADD3" w:rsidR="00FB232C" w:rsidRDefault="00FB232C" w:rsidP="00FB232C">
            <w:pPr>
              <w:rPr>
                <w:rFonts w:ascii="Palatino Linotype" w:hAnsi="Palatino Linotype"/>
                <w:sz w:val="20"/>
              </w:rPr>
            </w:pPr>
            <w:r>
              <w:rPr>
                <w:rFonts w:ascii="Palatino Linotype" w:hAnsi="Palatino Linotype"/>
                <w:sz w:val="20"/>
              </w:rPr>
              <w:t>Title</w:t>
            </w:r>
          </w:p>
        </w:tc>
        <w:tc>
          <w:tcPr>
            <w:tcW w:w="2128" w:type="dxa"/>
          </w:tcPr>
          <w:p w14:paraId="4D02EB1B" w14:textId="1FEA70AC" w:rsidR="00FB232C" w:rsidRDefault="00FB232C" w:rsidP="00FB232C">
            <w:pPr>
              <w:rPr>
                <w:rFonts w:ascii="Palatino Linotype" w:hAnsi="Palatino Linotype"/>
                <w:sz w:val="20"/>
              </w:rPr>
            </w:pPr>
            <w:r>
              <w:rPr>
                <w:rFonts w:ascii="Palatino Linotype" w:hAnsi="Palatino Linotype"/>
                <w:sz w:val="20"/>
              </w:rPr>
              <w:t>Journal</w:t>
            </w:r>
          </w:p>
        </w:tc>
      </w:tr>
      <w:tr w:rsidR="00FB232C" w14:paraId="129C8C84" w14:textId="040242DA" w:rsidTr="00A05244">
        <w:tc>
          <w:tcPr>
            <w:tcW w:w="661" w:type="dxa"/>
          </w:tcPr>
          <w:p w14:paraId="0F5093BA" w14:textId="143163BF" w:rsidR="00FB232C" w:rsidRDefault="00720CB7" w:rsidP="00FB232C">
            <w:pPr>
              <w:rPr>
                <w:rFonts w:ascii="Palatino Linotype" w:hAnsi="Palatino Linotype"/>
                <w:sz w:val="20"/>
              </w:rPr>
            </w:pPr>
            <w:r>
              <w:rPr>
                <w:rFonts w:ascii="Palatino Linotype" w:hAnsi="Palatino Linotype"/>
                <w:sz w:val="20"/>
              </w:rPr>
              <w:t>2018</w:t>
            </w:r>
          </w:p>
        </w:tc>
        <w:tc>
          <w:tcPr>
            <w:tcW w:w="1673" w:type="dxa"/>
          </w:tcPr>
          <w:p w14:paraId="21401133" w14:textId="4083EBC4" w:rsidR="00FB232C" w:rsidRDefault="00D37A6D" w:rsidP="00FB232C">
            <w:pPr>
              <w:rPr>
                <w:rFonts w:ascii="Palatino Linotype" w:hAnsi="Palatino Linotype"/>
                <w:sz w:val="20"/>
              </w:rPr>
            </w:pPr>
            <w:r w:rsidRPr="00D37A6D">
              <w:rPr>
                <w:rFonts w:ascii="Palatino Linotype" w:hAnsi="Palatino Linotype"/>
                <w:sz w:val="20"/>
              </w:rPr>
              <w:t>Arora</w:t>
            </w:r>
            <w:r>
              <w:rPr>
                <w:rFonts w:ascii="Palatino Linotype" w:hAnsi="Palatino Linotype"/>
                <w:sz w:val="20"/>
              </w:rPr>
              <w:t>,</w:t>
            </w:r>
            <w:r w:rsidRPr="00D37A6D">
              <w:rPr>
                <w:rFonts w:ascii="Palatino Linotype" w:hAnsi="Palatino Linotype"/>
                <w:sz w:val="20"/>
              </w:rPr>
              <w:t xml:space="preserve"> A</w:t>
            </w:r>
            <w:r>
              <w:rPr>
                <w:rFonts w:ascii="Palatino Linotype" w:hAnsi="Palatino Linotype"/>
                <w:sz w:val="20"/>
              </w:rPr>
              <w:t xml:space="preserve"> et al.</w:t>
            </w:r>
          </w:p>
        </w:tc>
        <w:tc>
          <w:tcPr>
            <w:tcW w:w="4010" w:type="dxa"/>
          </w:tcPr>
          <w:p w14:paraId="31E0A812" w14:textId="365EAC55" w:rsidR="00FB232C" w:rsidRDefault="00720CB7" w:rsidP="00FB232C">
            <w:pPr>
              <w:rPr>
                <w:rFonts w:ascii="Palatino Linotype" w:hAnsi="Palatino Linotype"/>
                <w:sz w:val="20"/>
              </w:rPr>
            </w:pPr>
            <w:r w:rsidRPr="00720CB7">
              <w:rPr>
                <w:rFonts w:ascii="Palatino Linotype" w:hAnsi="Palatino Linotype"/>
                <w:sz w:val="20"/>
              </w:rPr>
              <w:t>Process design and techno-economic analysis of an integrated mango processing waste biorefinery</w:t>
            </w:r>
          </w:p>
        </w:tc>
        <w:tc>
          <w:tcPr>
            <w:tcW w:w="2128" w:type="dxa"/>
          </w:tcPr>
          <w:p w14:paraId="65CB6914" w14:textId="41C55CFB" w:rsidR="00FB232C" w:rsidRDefault="00720CB7" w:rsidP="00FB232C">
            <w:pPr>
              <w:rPr>
                <w:rFonts w:ascii="Palatino Linotype" w:hAnsi="Palatino Linotype"/>
                <w:sz w:val="20"/>
              </w:rPr>
            </w:pPr>
            <w:r w:rsidRPr="00720CB7">
              <w:rPr>
                <w:rFonts w:ascii="Palatino Linotype" w:hAnsi="Palatino Linotype"/>
                <w:sz w:val="20"/>
              </w:rPr>
              <w:t>Industrial Crops and Products.</w:t>
            </w:r>
          </w:p>
        </w:tc>
      </w:tr>
      <w:tr w:rsidR="00FB232C" w14:paraId="6E842338" w14:textId="478B13D5" w:rsidTr="00A05244">
        <w:tc>
          <w:tcPr>
            <w:tcW w:w="661" w:type="dxa"/>
          </w:tcPr>
          <w:p w14:paraId="1AC74C7E" w14:textId="1AE7A0FB" w:rsidR="00FB232C" w:rsidRDefault="00720CB7" w:rsidP="00FB232C">
            <w:pPr>
              <w:rPr>
                <w:rFonts w:ascii="Palatino Linotype" w:hAnsi="Palatino Linotype"/>
                <w:sz w:val="20"/>
              </w:rPr>
            </w:pPr>
            <w:r>
              <w:rPr>
                <w:rFonts w:ascii="Palatino Linotype" w:hAnsi="Palatino Linotype"/>
                <w:sz w:val="20"/>
              </w:rPr>
              <w:t>2018</w:t>
            </w:r>
          </w:p>
        </w:tc>
        <w:tc>
          <w:tcPr>
            <w:tcW w:w="1673" w:type="dxa"/>
          </w:tcPr>
          <w:p w14:paraId="6ACE3B83" w14:textId="46279723" w:rsidR="00FB232C" w:rsidRDefault="00D37A6D" w:rsidP="00FB232C">
            <w:pPr>
              <w:rPr>
                <w:rFonts w:ascii="Palatino Linotype" w:hAnsi="Palatino Linotype"/>
                <w:sz w:val="20"/>
              </w:rPr>
            </w:pPr>
            <w:proofErr w:type="spellStart"/>
            <w:r w:rsidRPr="00D37A6D">
              <w:rPr>
                <w:rFonts w:ascii="Palatino Linotype" w:hAnsi="Palatino Linotype"/>
                <w:sz w:val="20"/>
              </w:rPr>
              <w:t>Iacovidou</w:t>
            </w:r>
            <w:proofErr w:type="spellEnd"/>
            <w:r w:rsidRPr="00D37A6D">
              <w:rPr>
                <w:rFonts w:ascii="Palatino Linotype" w:hAnsi="Palatino Linotype"/>
                <w:sz w:val="20"/>
              </w:rPr>
              <w:t xml:space="preserve"> E, </w:t>
            </w:r>
            <w:proofErr w:type="spellStart"/>
            <w:r w:rsidRPr="00D37A6D">
              <w:rPr>
                <w:rFonts w:ascii="Palatino Linotype" w:hAnsi="Palatino Linotype"/>
                <w:sz w:val="20"/>
              </w:rPr>
              <w:t>Ohandja</w:t>
            </w:r>
            <w:proofErr w:type="spellEnd"/>
            <w:r w:rsidRPr="00D37A6D">
              <w:rPr>
                <w:rFonts w:ascii="Palatino Linotype" w:hAnsi="Palatino Linotype"/>
                <w:sz w:val="20"/>
              </w:rPr>
              <w:t xml:space="preserve"> DG, </w:t>
            </w:r>
            <w:proofErr w:type="spellStart"/>
            <w:r w:rsidRPr="00D37A6D">
              <w:rPr>
                <w:rFonts w:ascii="Palatino Linotype" w:hAnsi="Palatino Linotype"/>
                <w:sz w:val="20"/>
              </w:rPr>
              <w:t>Voulvoulis</w:t>
            </w:r>
            <w:proofErr w:type="spellEnd"/>
            <w:r w:rsidRPr="00D37A6D">
              <w:rPr>
                <w:rFonts w:ascii="Palatino Linotype" w:hAnsi="Palatino Linotype"/>
                <w:sz w:val="20"/>
              </w:rPr>
              <w:t xml:space="preserve"> N.</w:t>
            </w:r>
          </w:p>
        </w:tc>
        <w:tc>
          <w:tcPr>
            <w:tcW w:w="4010" w:type="dxa"/>
          </w:tcPr>
          <w:p w14:paraId="04CE0435" w14:textId="70A3101F" w:rsidR="00FB232C" w:rsidRDefault="00720CB7" w:rsidP="00FB232C">
            <w:pPr>
              <w:rPr>
                <w:rFonts w:ascii="Palatino Linotype" w:hAnsi="Palatino Linotype"/>
                <w:sz w:val="20"/>
              </w:rPr>
            </w:pPr>
            <w:r w:rsidRPr="00720CB7">
              <w:rPr>
                <w:rFonts w:ascii="Palatino Linotype" w:hAnsi="Palatino Linotype"/>
                <w:sz w:val="20"/>
              </w:rPr>
              <w:t>A multi-criteria sustainability assessment framework: development and application in comparing two food waste management options using a UK region as a case study.</w:t>
            </w:r>
          </w:p>
        </w:tc>
        <w:tc>
          <w:tcPr>
            <w:tcW w:w="2128" w:type="dxa"/>
          </w:tcPr>
          <w:p w14:paraId="3D84BDFA" w14:textId="2B5EBE99" w:rsidR="00FB232C" w:rsidRDefault="00720CB7" w:rsidP="00FB232C">
            <w:pPr>
              <w:rPr>
                <w:rFonts w:ascii="Palatino Linotype" w:hAnsi="Palatino Linotype"/>
                <w:sz w:val="20"/>
              </w:rPr>
            </w:pPr>
            <w:r w:rsidRPr="00720CB7">
              <w:rPr>
                <w:rFonts w:ascii="Palatino Linotype" w:hAnsi="Palatino Linotype"/>
                <w:sz w:val="20"/>
              </w:rPr>
              <w:t>Environmental Science and Pollution Research</w:t>
            </w:r>
          </w:p>
        </w:tc>
      </w:tr>
      <w:tr w:rsidR="00FB232C" w14:paraId="798257CE" w14:textId="2878F35E" w:rsidTr="00A05244">
        <w:tc>
          <w:tcPr>
            <w:tcW w:w="661" w:type="dxa"/>
          </w:tcPr>
          <w:p w14:paraId="5E47FD80" w14:textId="4C4E2F6F" w:rsidR="00FB232C" w:rsidRDefault="00720CB7" w:rsidP="00FB232C">
            <w:pPr>
              <w:rPr>
                <w:rFonts w:ascii="Palatino Linotype" w:hAnsi="Palatino Linotype"/>
                <w:sz w:val="20"/>
              </w:rPr>
            </w:pPr>
            <w:r>
              <w:rPr>
                <w:rFonts w:ascii="Palatino Linotype" w:hAnsi="Palatino Linotype"/>
                <w:sz w:val="20"/>
              </w:rPr>
              <w:t>2018</w:t>
            </w:r>
          </w:p>
        </w:tc>
        <w:tc>
          <w:tcPr>
            <w:tcW w:w="1673" w:type="dxa"/>
          </w:tcPr>
          <w:p w14:paraId="0AD4EF8B" w14:textId="2ADFCB91" w:rsidR="00FB232C" w:rsidRDefault="00D37A6D" w:rsidP="00FB232C">
            <w:pPr>
              <w:rPr>
                <w:rFonts w:ascii="Palatino Linotype" w:hAnsi="Palatino Linotype"/>
                <w:sz w:val="20"/>
              </w:rPr>
            </w:pPr>
            <w:proofErr w:type="spellStart"/>
            <w:r w:rsidRPr="00D37A6D">
              <w:rPr>
                <w:rFonts w:ascii="Palatino Linotype" w:hAnsi="Palatino Linotype"/>
                <w:sz w:val="20"/>
              </w:rPr>
              <w:t>Demichelis</w:t>
            </w:r>
            <w:proofErr w:type="spellEnd"/>
            <w:r w:rsidRPr="00D37A6D">
              <w:rPr>
                <w:rFonts w:ascii="Palatino Linotype" w:hAnsi="Palatino Linotype"/>
                <w:sz w:val="20"/>
              </w:rPr>
              <w:t xml:space="preserve"> F, Fiore S, </w:t>
            </w:r>
            <w:proofErr w:type="spellStart"/>
            <w:r w:rsidRPr="00D37A6D">
              <w:rPr>
                <w:rFonts w:ascii="Palatino Linotype" w:hAnsi="Palatino Linotype"/>
                <w:sz w:val="20"/>
              </w:rPr>
              <w:t>Pleissner</w:t>
            </w:r>
            <w:proofErr w:type="spellEnd"/>
            <w:r w:rsidRPr="00D37A6D">
              <w:rPr>
                <w:rFonts w:ascii="Palatino Linotype" w:hAnsi="Palatino Linotype"/>
                <w:sz w:val="20"/>
              </w:rPr>
              <w:t xml:space="preserve"> D, V.J.</w:t>
            </w:r>
          </w:p>
        </w:tc>
        <w:tc>
          <w:tcPr>
            <w:tcW w:w="4010" w:type="dxa"/>
          </w:tcPr>
          <w:p w14:paraId="25F66B62" w14:textId="649EBBE6" w:rsidR="00FB232C" w:rsidRDefault="00720CB7" w:rsidP="00FB232C">
            <w:pPr>
              <w:rPr>
                <w:rFonts w:ascii="Palatino Linotype" w:hAnsi="Palatino Linotype"/>
                <w:sz w:val="20"/>
              </w:rPr>
            </w:pPr>
            <w:r w:rsidRPr="00720CB7">
              <w:rPr>
                <w:rFonts w:ascii="Palatino Linotype" w:hAnsi="Palatino Linotype"/>
                <w:sz w:val="20"/>
              </w:rPr>
              <w:t>Technical and economic assessment of food waste valorization through a biorefinery chain.</w:t>
            </w:r>
          </w:p>
        </w:tc>
        <w:tc>
          <w:tcPr>
            <w:tcW w:w="2128" w:type="dxa"/>
          </w:tcPr>
          <w:p w14:paraId="431D24EE" w14:textId="3F0EBB36" w:rsidR="00FB232C" w:rsidRDefault="00720CB7" w:rsidP="00FB232C">
            <w:pPr>
              <w:rPr>
                <w:rFonts w:ascii="Palatino Linotype" w:hAnsi="Palatino Linotype"/>
                <w:sz w:val="20"/>
              </w:rPr>
            </w:pPr>
            <w:r w:rsidRPr="00720CB7">
              <w:rPr>
                <w:rFonts w:ascii="Palatino Linotype" w:hAnsi="Palatino Linotype"/>
                <w:sz w:val="20"/>
              </w:rPr>
              <w:t>Renewable and Sustainable Energy Reviews</w:t>
            </w:r>
          </w:p>
        </w:tc>
      </w:tr>
      <w:tr w:rsidR="00FB232C" w14:paraId="6AF64608" w14:textId="501E98C0" w:rsidTr="00A05244">
        <w:tc>
          <w:tcPr>
            <w:tcW w:w="661" w:type="dxa"/>
          </w:tcPr>
          <w:p w14:paraId="186F6570" w14:textId="622518D9" w:rsidR="00FB232C" w:rsidRDefault="00720CB7" w:rsidP="00FB232C">
            <w:pPr>
              <w:rPr>
                <w:rFonts w:ascii="Palatino Linotype" w:hAnsi="Palatino Linotype"/>
                <w:sz w:val="20"/>
              </w:rPr>
            </w:pPr>
            <w:r>
              <w:rPr>
                <w:rFonts w:ascii="Palatino Linotype" w:hAnsi="Palatino Linotype"/>
                <w:sz w:val="20"/>
              </w:rPr>
              <w:lastRenderedPageBreak/>
              <w:t>2018</w:t>
            </w:r>
          </w:p>
        </w:tc>
        <w:tc>
          <w:tcPr>
            <w:tcW w:w="1673" w:type="dxa"/>
          </w:tcPr>
          <w:p w14:paraId="049326E0" w14:textId="1EA2566D" w:rsidR="00FB232C" w:rsidRPr="00261376" w:rsidRDefault="00D37A6D" w:rsidP="00FB232C">
            <w:pPr>
              <w:rPr>
                <w:rFonts w:ascii="Palatino Linotype" w:hAnsi="Palatino Linotype"/>
                <w:sz w:val="20"/>
              </w:rPr>
            </w:pPr>
            <w:r w:rsidRPr="00261376">
              <w:rPr>
                <w:rFonts w:ascii="Palatino Linotype" w:hAnsi="Palatino Linotype"/>
                <w:sz w:val="20"/>
              </w:rPr>
              <w:t xml:space="preserve">Cristóbal J, </w:t>
            </w:r>
            <w:proofErr w:type="spellStart"/>
            <w:r w:rsidRPr="00261376">
              <w:rPr>
                <w:rFonts w:ascii="Palatino Linotype" w:hAnsi="Palatino Linotype"/>
                <w:sz w:val="20"/>
              </w:rPr>
              <w:t>Caldeira</w:t>
            </w:r>
            <w:proofErr w:type="spellEnd"/>
            <w:r w:rsidRPr="00261376">
              <w:rPr>
                <w:rFonts w:ascii="Palatino Linotype" w:hAnsi="Palatino Linotype"/>
                <w:sz w:val="20"/>
              </w:rPr>
              <w:t xml:space="preserve"> C, </w:t>
            </w:r>
            <w:proofErr w:type="spellStart"/>
            <w:r w:rsidRPr="00261376">
              <w:rPr>
                <w:rFonts w:ascii="Palatino Linotype" w:hAnsi="Palatino Linotype"/>
                <w:sz w:val="20"/>
              </w:rPr>
              <w:t>Corrado</w:t>
            </w:r>
            <w:proofErr w:type="spellEnd"/>
            <w:r w:rsidRPr="00261376">
              <w:rPr>
                <w:rFonts w:ascii="Palatino Linotype" w:hAnsi="Palatino Linotype"/>
                <w:sz w:val="20"/>
              </w:rPr>
              <w:t xml:space="preserve"> S, S.S.</w:t>
            </w:r>
          </w:p>
        </w:tc>
        <w:tc>
          <w:tcPr>
            <w:tcW w:w="4010" w:type="dxa"/>
          </w:tcPr>
          <w:p w14:paraId="1C4700CC" w14:textId="6D4651FB" w:rsidR="00FB232C" w:rsidRDefault="00720CB7" w:rsidP="00FB232C">
            <w:pPr>
              <w:rPr>
                <w:rFonts w:ascii="Palatino Linotype" w:hAnsi="Palatino Linotype"/>
                <w:sz w:val="20"/>
              </w:rPr>
            </w:pPr>
            <w:r w:rsidRPr="00720CB7">
              <w:rPr>
                <w:rFonts w:ascii="Palatino Linotype" w:hAnsi="Palatino Linotype"/>
                <w:sz w:val="20"/>
              </w:rPr>
              <w:t>Techno-economic and profitability analysis of food waste biorefineries at European level.</w:t>
            </w:r>
          </w:p>
        </w:tc>
        <w:tc>
          <w:tcPr>
            <w:tcW w:w="2128" w:type="dxa"/>
          </w:tcPr>
          <w:p w14:paraId="40D6D2DE" w14:textId="3BC19549" w:rsidR="00FB232C" w:rsidRDefault="00720CB7" w:rsidP="00FB232C">
            <w:pPr>
              <w:rPr>
                <w:rFonts w:ascii="Palatino Linotype" w:hAnsi="Palatino Linotype"/>
                <w:sz w:val="20"/>
              </w:rPr>
            </w:pPr>
            <w:r w:rsidRPr="00720CB7">
              <w:rPr>
                <w:rFonts w:ascii="Palatino Linotype" w:hAnsi="Palatino Linotype"/>
                <w:sz w:val="20"/>
              </w:rPr>
              <w:t>Bioresource technology</w:t>
            </w:r>
          </w:p>
        </w:tc>
      </w:tr>
      <w:tr w:rsidR="00594D12" w14:paraId="277C161C" w14:textId="77777777" w:rsidTr="00A05244">
        <w:tc>
          <w:tcPr>
            <w:tcW w:w="661" w:type="dxa"/>
          </w:tcPr>
          <w:p w14:paraId="0BD52E28" w14:textId="517084C9" w:rsidR="00594D12" w:rsidRDefault="00594D12" w:rsidP="00594D12">
            <w:pPr>
              <w:rPr>
                <w:rFonts w:ascii="Palatino Linotype" w:hAnsi="Palatino Linotype"/>
                <w:sz w:val="20"/>
              </w:rPr>
            </w:pPr>
            <w:r>
              <w:rPr>
                <w:rFonts w:ascii="Palatino Linotype" w:hAnsi="Palatino Linotype"/>
                <w:sz w:val="20"/>
              </w:rPr>
              <w:t>2018</w:t>
            </w:r>
          </w:p>
        </w:tc>
        <w:tc>
          <w:tcPr>
            <w:tcW w:w="1673" w:type="dxa"/>
          </w:tcPr>
          <w:p w14:paraId="0C5874C0" w14:textId="64A2F5D9" w:rsidR="00594D12" w:rsidRPr="00D37A6D" w:rsidRDefault="00594D12" w:rsidP="00594D12">
            <w:pPr>
              <w:rPr>
                <w:rFonts w:ascii="Palatino Linotype" w:hAnsi="Palatino Linotype"/>
                <w:sz w:val="20"/>
              </w:rPr>
            </w:pPr>
            <w:proofErr w:type="spellStart"/>
            <w:r w:rsidRPr="006A3A0D">
              <w:rPr>
                <w:rFonts w:ascii="Palatino Linotype" w:hAnsi="Palatino Linotype"/>
                <w:sz w:val="20"/>
              </w:rPr>
              <w:t>Laso</w:t>
            </w:r>
            <w:proofErr w:type="spellEnd"/>
            <w:r>
              <w:rPr>
                <w:rFonts w:ascii="Palatino Linotype" w:hAnsi="Palatino Linotype"/>
                <w:sz w:val="20"/>
              </w:rPr>
              <w:t xml:space="preserve"> et al.</w:t>
            </w:r>
          </w:p>
        </w:tc>
        <w:tc>
          <w:tcPr>
            <w:tcW w:w="4010" w:type="dxa"/>
          </w:tcPr>
          <w:p w14:paraId="3883906A" w14:textId="5ABE7613" w:rsidR="00594D12" w:rsidRPr="00720CB7" w:rsidRDefault="00594D12" w:rsidP="00594D12">
            <w:pPr>
              <w:rPr>
                <w:rFonts w:ascii="Palatino Linotype" w:hAnsi="Palatino Linotype"/>
                <w:sz w:val="20"/>
              </w:rPr>
            </w:pPr>
            <w:r w:rsidRPr="006A3A0D">
              <w:rPr>
                <w:rFonts w:ascii="Palatino Linotype" w:hAnsi="Palatino Linotype"/>
                <w:sz w:val="20"/>
              </w:rPr>
              <w:t>Combined application of Life Cycle Assessment and linear programming to evaluate food waste-to-food strategies: Seeking for answers in the nexus approach.</w:t>
            </w:r>
          </w:p>
        </w:tc>
        <w:tc>
          <w:tcPr>
            <w:tcW w:w="2128" w:type="dxa"/>
          </w:tcPr>
          <w:p w14:paraId="2A4801DC" w14:textId="57C4947D" w:rsidR="00594D12" w:rsidRPr="00720CB7" w:rsidRDefault="00594D12" w:rsidP="00594D12">
            <w:pPr>
              <w:rPr>
                <w:rFonts w:ascii="Palatino Linotype" w:hAnsi="Palatino Linotype"/>
                <w:sz w:val="20"/>
              </w:rPr>
            </w:pPr>
            <w:r>
              <w:rPr>
                <w:rFonts w:ascii="Palatino Linotype" w:hAnsi="Palatino Linotype"/>
                <w:sz w:val="20"/>
              </w:rPr>
              <w:t>Waste Management</w:t>
            </w:r>
          </w:p>
        </w:tc>
      </w:tr>
      <w:tr w:rsidR="00594D12" w14:paraId="5E8EE8CA" w14:textId="77777777" w:rsidTr="00A05244">
        <w:tc>
          <w:tcPr>
            <w:tcW w:w="661" w:type="dxa"/>
          </w:tcPr>
          <w:p w14:paraId="3BBE8E4D" w14:textId="652711ED" w:rsidR="00594D12" w:rsidRDefault="00594D12" w:rsidP="00594D12">
            <w:pPr>
              <w:rPr>
                <w:rFonts w:ascii="Palatino Linotype" w:hAnsi="Palatino Linotype"/>
                <w:sz w:val="20"/>
              </w:rPr>
            </w:pPr>
            <w:r>
              <w:rPr>
                <w:rFonts w:ascii="Palatino Linotype" w:hAnsi="Palatino Linotype"/>
                <w:sz w:val="20"/>
              </w:rPr>
              <w:t>2018</w:t>
            </w:r>
          </w:p>
        </w:tc>
        <w:tc>
          <w:tcPr>
            <w:tcW w:w="1673" w:type="dxa"/>
          </w:tcPr>
          <w:p w14:paraId="1865F279" w14:textId="26E79CC5" w:rsidR="00594D12" w:rsidRPr="006A3A0D" w:rsidRDefault="00594D12" w:rsidP="00594D12">
            <w:pPr>
              <w:rPr>
                <w:rFonts w:ascii="Palatino Linotype" w:hAnsi="Palatino Linotype"/>
                <w:sz w:val="20"/>
              </w:rPr>
            </w:pPr>
            <w:r>
              <w:rPr>
                <w:rFonts w:ascii="Palatino Linotype" w:hAnsi="Palatino Linotype"/>
                <w:sz w:val="20"/>
              </w:rPr>
              <w:t>Tesfaye T et al.</w:t>
            </w:r>
          </w:p>
        </w:tc>
        <w:tc>
          <w:tcPr>
            <w:tcW w:w="4010" w:type="dxa"/>
          </w:tcPr>
          <w:p w14:paraId="1A13BEE9" w14:textId="1E760C15" w:rsidR="00594D12" w:rsidRPr="006A3A0D" w:rsidRDefault="00594D12" w:rsidP="00594D12">
            <w:pPr>
              <w:rPr>
                <w:rFonts w:ascii="Palatino Linotype" w:hAnsi="Palatino Linotype"/>
                <w:sz w:val="20"/>
              </w:rPr>
            </w:pPr>
            <w:r w:rsidRPr="00720CB7">
              <w:rPr>
                <w:rFonts w:ascii="Palatino Linotype" w:hAnsi="Palatino Linotype"/>
                <w:sz w:val="20"/>
              </w:rPr>
              <w:t>Valorisation of mango seed via extraction of starch: preliminary techno-economic analysis.</w:t>
            </w:r>
          </w:p>
        </w:tc>
        <w:tc>
          <w:tcPr>
            <w:tcW w:w="2128" w:type="dxa"/>
          </w:tcPr>
          <w:p w14:paraId="028FB7E8" w14:textId="31BA454A" w:rsidR="00594D12" w:rsidRDefault="00594D12" w:rsidP="00594D12">
            <w:pPr>
              <w:rPr>
                <w:rFonts w:ascii="Palatino Linotype" w:hAnsi="Palatino Linotype"/>
                <w:sz w:val="20"/>
              </w:rPr>
            </w:pPr>
            <w:r w:rsidRPr="00720CB7">
              <w:rPr>
                <w:rFonts w:ascii="Palatino Linotype" w:hAnsi="Palatino Linotype"/>
                <w:sz w:val="20"/>
              </w:rPr>
              <w:t>Clean Technologies and Environmental Policy</w:t>
            </w:r>
          </w:p>
        </w:tc>
      </w:tr>
      <w:tr w:rsidR="00594D12" w14:paraId="6ECFEC5B" w14:textId="77777777" w:rsidTr="00A05244">
        <w:tc>
          <w:tcPr>
            <w:tcW w:w="661" w:type="dxa"/>
          </w:tcPr>
          <w:p w14:paraId="7DB9E697" w14:textId="16ACD3E9" w:rsidR="00594D12" w:rsidRDefault="00594D12" w:rsidP="00594D12">
            <w:pPr>
              <w:rPr>
                <w:rFonts w:ascii="Palatino Linotype" w:hAnsi="Palatino Linotype"/>
                <w:sz w:val="20"/>
              </w:rPr>
            </w:pPr>
            <w:r>
              <w:rPr>
                <w:rFonts w:ascii="Palatino Linotype" w:hAnsi="Palatino Linotype"/>
                <w:sz w:val="20"/>
              </w:rPr>
              <w:t>2018</w:t>
            </w:r>
          </w:p>
        </w:tc>
        <w:tc>
          <w:tcPr>
            <w:tcW w:w="1673" w:type="dxa"/>
          </w:tcPr>
          <w:p w14:paraId="5FD018BA" w14:textId="7F4A5F1E" w:rsidR="00594D12" w:rsidRDefault="00594D12" w:rsidP="00594D12">
            <w:pPr>
              <w:rPr>
                <w:rFonts w:ascii="Palatino Linotype" w:hAnsi="Palatino Linotype"/>
                <w:sz w:val="20"/>
              </w:rPr>
            </w:pPr>
            <w:r w:rsidRPr="0042747F">
              <w:rPr>
                <w:rFonts w:ascii="Palatino Linotype" w:hAnsi="Palatino Linotype"/>
                <w:sz w:val="20"/>
              </w:rPr>
              <w:t xml:space="preserve">Lam </w:t>
            </w:r>
            <w:r>
              <w:rPr>
                <w:rFonts w:ascii="Palatino Linotype" w:hAnsi="Palatino Linotype"/>
                <w:sz w:val="20"/>
              </w:rPr>
              <w:t>et al.</w:t>
            </w:r>
          </w:p>
        </w:tc>
        <w:tc>
          <w:tcPr>
            <w:tcW w:w="4010" w:type="dxa"/>
          </w:tcPr>
          <w:p w14:paraId="4D518ABC" w14:textId="632FFB0E" w:rsidR="00594D12" w:rsidRPr="00720CB7" w:rsidRDefault="00594D12" w:rsidP="00594D12">
            <w:pPr>
              <w:rPr>
                <w:rFonts w:ascii="Palatino Linotype" w:hAnsi="Palatino Linotype"/>
                <w:sz w:val="20"/>
              </w:rPr>
            </w:pPr>
            <w:r w:rsidRPr="00D301DD">
              <w:rPr>
                <w:rFonts w:ascii="Palatino Linotype" w:hAnsi="Palatino Linotype"/>
                <w:sz w:val="20"/>
              </w:rPr>
              <w:t>Life-cycle assessment on food waste valorisation to value-added products</w:t>
            </w:r>
          </w:p>
        </w:tc>
        <w:tc>
          <w:tcPr>
            <w:tcW w:w="2128" w:type="dxa"/>
          </w:tcPr>
          <w:p w14:paraId="4C442F1B" w14:textId="42BF3D59" w:rsidR="00594D12" w:rsidRPr="00720CB7" w:rsidRDefault="00594D12" w:rsidP="00594D12">
            <w:pPr>
              <w:rPr>
                <w:rFonts w:ascii="Palatino Linotype" w:hAnsi="Palatino Linotype"/>
                <w:sz w:val="20"/>
              </w:rPr>
            </w:pPr>
            <w:r w:rsidRPr="00D301DD">
              <w:rPr>
                <w:rFonts w:ascii="Palatino Linotype" w:hAnsi="Palatino Linotype"/>
                <w:sz w:val="20"/>
              </w:rPr>
              <w:t>Journal of Cleaner Production</w:t>
            </w:r>
          </w:p>
        </w:tc>
      </w:tr>
      <w:tr w:rsidR="00594D12" w14:paraId="4929199E" w14:textId="77777777" w:rsidTr="00A05244">
        <w:tc>
          <w:tcPr>
            <w:tcW w:w="661" w:type="dxa"/>
          </w:tcPr>
          <w:p w14:paraId="4387D0EA" w14:textId="12664DB9" w:rsidR="00594D12" w:rsidRDefault="00594D12" w:rsidP="00594D12">
            <w:pPr>
              <w:rPr>
                <w:rFonts w:ascii="Palatino Linotype" w:hAnsi="Palatino Linotype"/>
                <w:sz w:val="20"/>
              </w:rPr>
            </w:pPr>
            <w:r>
              <w:rPr>
                <w:rFonts w:ascii="Palatino Linotype" w:hAnsi="Palatino Linotype"/>
                <w:sz w:val="20"/>
              </w:rPr>
              <w:t>2018</w:t>
            </w:r>
          </w:p>
        </w:tc>
        <w:tc>
          <w:tcPr>
            <w:tcW w:w="1673" w:type="dxa"/>
          </w:tcPr>
          <w:p w14:paraId="4C6674DA" w14:textId="79C062FB" w:rsidR="00594D12" w:rsidRPr="00261376" w:rsidRDefault="00594D12" w:rsidP="00594D12">
            <w:pPr>
              <w:rPr>
                <w:rFonts w:ascii="Palatino Linotype" w:hAnsi="Palatino Linotype"/>
                <w:sz w:val="20"/>
              </w:rPr>
            </w:pPr>
            <w:proofErr w:type="spellStart"/>
            <w:r w:rsidRPr="00261376">
              <w:rPr>
                <w:rFonts w:ascii="Palatino Linotype" w:hAnsi="Palatino Linotype"/>
                <w:sz w:val="20"/>
              </w:rPr>
              <w:t>Brunklaus</w:t>
            </w:r>
            <w:proofErr w:type="spellEnd"/>
            <w:r w:rsidRPr="00261376">
              <w:rPr>
                <w:rFonts w:ascii="Palatino Linotype" w:hAnsi="Palatino Linotype"/>
                <w:sz w:val="20"/>
              </w:rPr>
              <w:t xml:space="preserve"> B, Rex E, Carlsson E, B.J.</w:t>
            </w:r>
          </w:p>
        </w:tc>
        <w:tc>
          <w:tcPr>
            <w:tcW w:w="4010" w:type="dxa"/>
          </w:tcPr>
          <w:p w14:paraId="119DB2DA" w14:textId="64A240E6" w:rsidR="00594D12" w:rsidRPr="00D301DD" w:rsidRDefault="00594D12" w:rsidP="00594D12">
            <w:pPr>
              <w:rPr>
                <w:rFonts w:ascii="Palatino Linotype" w:hAnsi="Palatino Linotype"/>
                <w:sz w:val="20"/>
              </w:rPr>
            </w:pPr>
            <w:r w:rsidRPr="00D301DD">
              <w:rPr>
                <w:rFonts w:ascii="Palatino Linotype" w:hAnsi="Palatino Linotype"/>
                <w:sz w:val="20"/>
              </w:rPr>
              <w:t>The future of Swedish food waste: An environmental assessment of existing and prospective valorization techniques.</w:t>
            </w:r>
          </w:p>
        </w:tc>
        <w:tc>
          <w:tcPr>
            <w:tcW w:w="2128" w:type="dxa"/>
          </w:tcPr>
          <w:p w14:paraId="69E31EFF" w14:textId="3FA0B25D" w:rsidR="00594D12" w:rsidRPr="00D301DD" w:rsidRDefault="00594D12" w:rsidP="00594D12">
            <w:pPr>
              <w:rPr>
                <w:rFonts w:ascii="Palatino Linotype" w:hAnsi="Palatino Linotype"/>
                <w:sz w:val="20"/>
              </w:rPr>
            </w:pPr>
            <w:r w:rsidRPr="00D301DD">
              <w:rPr>
                <w:rFonts w:ascii="Palatino Linotype" w:hAnsi="Palatino Linotype"/>
                <w:sz w:val="20"/>
              </w:rPr>
              <w:t>Journal of Cleaner Production</w:t>
            </w:r>
          </w:p>
        </w:tc>
      </w:tr>
      <w:tr w:rsidR="00594D12" w14:paraId="7FB7BC2C" w14:textId="77777777" w:rsidTr="00A05244">
        <w:tc>
          <w:tcPr>
            <w:tcW w:w="661" w:type="dxa"/>
          </w:tcPr>
          <w:p w14:paraId="1731BA58" w14:textId="06A38B81" w:rsidR="00594D12" w:rsidRDefault="00594D12" w:rsidP="00594D12">
            <w:pPr>
              <w:rPr>
                <w:rFonts w:ascii="Palatino Linotype" w:hAnsi="Palatino Linotype"/>
                <w:sz w:val="20"/>
              </w:rPr>
            </w:pPr>
            <w:r>
              <w:rPr>
                <w:rFonts w:ascii="Palatino Linotype" w:hAnsi="Palatino Linotype"/>
                <w:sz w:val="20"/>
              </w:rPr>
              <w:t>2018</w:t>
            </w:r>
          </w:p>
        </w:tc>
        <w:tc>
          <w:tcPr>
            <w:tcW w:w="1673" w:type="dxa"/>
          </w:tcPr>
          <w:p w14:paraId="69C68F11" w14:textId="4B2B9474" w:rsidR="00594D12" w:rsidRPr="00261376" w:rsidRDefault="00594D12" w:rsidP="00594D12">
            <w:pPr>
              <w:rPr>
                <w:rFonts w:ascii="Palatino Linotype" w:hAnsi="Palatino Linotype"/>
                <w:sz w:val="20"/>
              </w:rPr>
            </w:pPr>
            <w:r w:rsidRPr="00261376">
              <w:rPr>
                <w:rFonts w:ascii="Palatino Linotype" w:hAnsi="Palatino Linotype"/>
                <w:sz w:val="20"/>
              </w:rPr>
              <w:t xml:space="preserve">De </w:t>
            </w:r>
            <w:proofErr w:type="spellStart"/>
            <w:r w:rsidRPr="00261376">
              <w:rPr>
                <w:rFonts w:ascii="Palatino Linotype" w:hAnsi="Palatino Linotype"/>
                <w:sz w:val="20"/>
              </w:rPr>
              <w:t>Menna</w:t>
            </w:r>
            <w:proofErr w:type="spellEnd"/>
            <w:r w:rsidRPr="00261376">
              <w:rPr>
                <w:rFonts w:ascii="Palatino Linotype" w:hAnsi="Palatino Linotype"/>
                <w:sz w:val="20"/>
              </w:rPr>
              <w:t xml:space="preserve"> F, </w:t>
            </w:r>
            <w:proofErr w:type="spellStart"/>
            <w:r w:rsidRPr="00261376">
              <w:rPr>
                <w:rFonts w:ascii="Palatino Linotype" w:hAnsi="Palatino Linotype"/>
                <w:sz w:val="20"/>
              </w:rPr>
              <w:t>Dietershagen</w:t>
            </w:r>
            <w:proofErr w:type="spellEnd"/>
            <w:r w:rsidRPr="00261376">
              <w:rPr>
                <w:rFonts w:ascii="Palatino Linotype" w:hAnsi="Palatino Linotype"/>
                <w:sz w:val="20"/>
              </w:rPr>
              <w:t xml:space="preserve"> J, </w:t>
            </w:r>
            <w:proofErr w:type="spellStart"/>
            <w:r w:rsidRPr="00261376">
              <w:rPr>
                <w:rFonts w:ascii="Palatino Linotype" w:hAnsi="Palatino Linotype"/>
                <w:sz w:val="20"/>
              </w:rPr>
              <w:t>Loubiere</w:t>
            </w:r>
            <w:proofErr w:type="spellEnd"/>
            <w:r w:rsidRPr="00261376">
              <w:rPr>
                <w:rFonts w:ascii="Palatino Linotype" w:hAnsi="Palatino Linotype"/>
                <w:sz w:val="20"/>
              </w:rPr>
              <w:t xml:space="preserve"> M, </w:t>
            </w:r>
            <w:proofErr w:type="spellStart"/>
            <w:r w:rsidRPr="00261376">
              <w:rPr>
                <w:rFonts w:ascii="Palatino Linotype" w:hAnsi="Palatino Linotype"/>
                <w:sz w:val="20"/>
              </w:rPr>
              <w:t>Vittuari</w:t>
            </w:r>
            <w:proofErr w:type="spellEnd"/>
            <w:r w:rsidRPr="00261376">
              <w:rPr>
                <w:rFonts w:ascii="Palatino Linotype" w:hAnsi="Palatino Linotype"/>
                <w:sz w:val="20"/>
              </w:rPr>
              <w:t xml:space="preserve"> M.</w:t>
            </w:r>
          </w:p>
        </w:tc>
        <w:tc>
          <w:tcPr>
            <w:tcW w:w="4010" w:type="dxa"/>
          </w:tcPr>
          <w:p w14:paraId="016B7BDC" w14:textId="61EAFB24" w:rsidR="00594D12" w:rsidRPr="00D301DD" w:rsidRDefault="00594D12" w:rsidP="00594D12">
            <w:pPr>
              <w:rPr>
                <w:rFonts w:ascii="Palatino Linotype" w:hAnsi="Palatino Linotype"/>
                <w:sz w:val="20"/>
              </w:rPr>
            </w:pPr>
            <w:r w:rsidRPr="005D5384">
              <w:rPr>
                <w:rFonts w:ascii="Palatino Linotype" w:hAnsi="Palatino Linotype"/>
                <w:sz w:val="20"/>
              </w:rPr>
              <w:t>Life cycle costing of food waste: A review of methodological approaches</w:t>
            </w:r>
          </w:p>
        </w:tc>
        <w:tc>
          <w:tcPr>
            <w:tcW w:w="2128" w:type="dxa"/>
          </w:tcPr>
          <w:p w14:paraId="137B63FE" w14:textId="0EB17C3B" w:rsidR="00594D12" w:rsidRPr="00D301DD" w:rsidRDefault="00594D12" w:rsidP="00594D12">
            <w:pPr>
              <w:rPr>
                <w:rFonts w:ascii="Palatino Linotype" w:hAnsi="Palatino Linotype"/>
                <w:sz w:val="20"/>
              </w:rPr>
            </w:pPr>
            <w:r w:rsidRPr="005D5384">
              <w:rPr>
                <w:rFonts w:ascii="Palatino Linotype" w:hAnsi="Palatino Linotype"/>
                <w:sz w:val="20"/>
              </w:rPr>
              <w:t>Waste Management</w:t>
            </w:r>
          </w:p>
        </w:tc>
      </w:tr>
      <w:tr w:rsidR="00594D12" w14:paraId="715DF718" w14:textId="77777777" w:rsidTr="00A05244">
        <w:tc>
          <w:tcPr>
            <w:tcW w:w="661" w:type="dxa"/>
          </w:tcPr>
          <w:p w14:paraId="295D36B2" w14:textId="1C31DD45" w:rsidR="00594D12" w:rsidRDefault="00594D12" w:rsidP="00594D12">
            <w:pPr>
              <w:rPr>
                <w:rFonts w:ascii="Palatino Linotype" w:hAnsi="Palatino Linotype"/>
                <w:sz w:val="20"/>
              </w:rPr>
            </w:pPr>
            <w:r>
              <w:rPr>
                <w:rFonts w:ascii="Palatino Linotype" w:hAnsi="Palatino Linotype"/>
                <w:sz w:val="20"/>
              </w:rPr>
              <w:t>2018</w:t>
            </w:r>
          </w:p>
        </w:tc>
        <w:tc>
          <w:tcPr>
            <w:tcW w:w="1673" w:type="dxa"/>
          </w:tcPr>
          <w:p w14:paraId="780811B1" w14:textId="400264A0" w:rsidR="00594D12" w:rsidRPr="00261376" w:rsidRDefault="00594D12" w:rsidP="00594D12">
            <w:pPr>
              <w:rPr>
                <w:rFonts w:ascii="Palatino Linotype" w:hAnsi="Palatino Linotype"/>
                <w:sz w:val="20"/>
              </w:rPr>
            </w:pPr>
            <w:r w:rsidRPr="00261376">
              <w:rPr>
                <w:rFonts w:ascii="Palatino Linotype" w:hAnsi="Palatino Linotype"/>
                <w:sz w:val="20"/>
              </w:rPr>
              <w:t>Guerrero, A.B. and Muñoz, E.</w:t>
            </w:r>
          </w:p>
        </w:tc>
        <w:tc>
          <w:tcPr>
            <w:tcW w:w="4010" w:type="dxa"/>
          </w:tcPr>
          <w:p w14:paraId="689BBAFE" w14:textId="36DB2FAF" w:rsidR="00594D12" w:rsidRPr="005D5384" w:rsidRDefault="00594D12" w:rsidP="00594D12">
            <w:pPr>
              <w:rPr>
                <w:rFonts w:ascii="Palatino Linotype" w:hAnsi="Palatino Linotype"/>
                <w:sz w:val="20"/>
              </w:rPr>
            </w:pPr>
            <w:r w:rsidRPr="007304CA">
              <w:rPr>
                <w:rFonts w:ascii="Palatino Linotype" w:hAnsi="Palatino Linotype"/>
                <w:sz w:val="20"/>
              </w:rPr>
              <w:t xml:space="preserve">Life cycle assessment of </w:t>
            </w:r>
            <w:proofErr w:type="gramStart"/>
            <w:r w:rsidRPr="007304CA">
              <w:rPr>
                <w:rFonts w:ascii="Palatino Linotype" w:hAnsi="Palatino Linotype"/>
                <w:sz w:val="20"/>
              </w:rPr>
              <w:t>second generation</w:t>
            </w:r>
            <w:proofErr w:type="gramEnd"/>
            <w:r w:rsidRPr="007304CA">
              <w:rPr>
                <w:rFonts w:ascii="Palatino Linotype" w:hAnsi="Palatino Linotype"/>
                <w:sz w:val="20"/>
              </w:rPr>
              <w:t xml:space="preserve"> ethanol derived from banana agricultural waste: Environmental impacts and energy balance</w:t>
            </w:r>
          </w:p>
        </w:tc>
        <w:tc>
          <w:tcPr>
            <w:tcW w:w="2128" w:type="dxa"/>
          </w:tcPr>
          <w:p w14:paraId="3961A0AE" w14:textId="11C11316" w:rsidR="00594D12" w:rsidRPr="005D5384" w:rsidRDefault="00594D12" w:rsidP="00594D12">
            <w:pPr>
              <w:rPr>
                <w:rFonts w:ascii="Palatino Linotype" w:hAnsi="Palatino Linotype"/>
                <w:sz w:val="20"/>
              </w:rPr>
            </w:pPr>
            <w:r w:rsidRPr="007304CA">
              <w:rPr>
                <w:rFonts w:ascii="Palatino Linotype" w:hAnsi="Palatino Linotype"/>
                <w:sz w:val="20"/>
              </w:rPr>
              <w:t>Journal of Cleaner Production</w:t>
            </w:r>
          </w:p>
        </w:tc>
      </w:tr>
      <w:tr w:rsidR="00594D12" w14:paraId="059379AB" w14:textId="77777777" w:rsidTr="00A05244">
        <w:tc>
          <w:tcPr>
            <w:tcW w:w="661" w:type="dxa"/>
          </w:tcPr>
          <w:p w14:paraId="3464AF05" w14:textId="5BEA620A" w:rsidR="00594D12" w:rsidRDefault="00594D12" w:rsidP="00594D12">
            <w:pPr>
              <w:rPr>
                <w:rFonts w:ascii="Palatino Linotype" w:hAnsi="Palatino Linotype"/>
                <w:sz w:val="20"/>
              </w:rPr>
            </w:pPr>
            <w:r>
              <w:rPr>
                <w:rFonts w:ascii="Palatino Linotype" w:hAnsi="Palatino Linotype"/>
                <w:sz w:val="20"/>
              </w:rPr>
              <w:t>2018</w:t>
            </w:r>
          </w:p>
        </w:tc>
        <w:tc>
          <w:tcPr>
            <w:tcW w:w="1673" w:type="dxa"/>
          </w:tcPr>
          <w:p w14:paraId="159B1488" w14:textId="49C00634" w:rsidR="00594D12" w:rsidRPr="00772171" w:rsidRDefault="00594D12" w:rsidP="00594D12">
            <w:pPr>
              <w:rPr>
                <w:rFonts w:ascii="Palatino Linotype" w:hAnsi="Palatino Linotype"/>
                <w:sz w:val="20"/>
              </w:rPr>
            </w:pPr>
            <w:proofErr w:type="spellStart"/>
            <w:r w:rsidRPr="009A485B">
              <w:rPr>
                <w:rFonts w:ascii="Palatino Linotype" w:hAnsi="Palatino Linotype"/>
                <w:sz w:val="20"/>
              </w:rPr>
              <w:t>Benis</w:t>
            </w:r>
            <w:proofErr w:type="spellEnd"/>
            <w:r>
              <w:rPr>
                <w:rFonts w:ascii="Palatino Linotype" w:hAnsi="Palatino Linotype"/>
                <w:sz w:val="20"/>
              </w:rPr>
              <w:t xml:space="preserve"> et al.</w:t>
            </w:r>
          </w:p>
        </w:tc>
        <w:tc>
          <w:tcPr>
            <w:tcW w:w="4010" w:type="dxa"/>
          </w:tcPr>
          <w:p w14:paraId="796F6458" w14:textId="66BADA4C" w:rsidR="00594D12" w:rsidRPr="007304CA" w:rsidRDefault="00594D12" w:rsidP="00594D12">
            <w:pPr>
              <w:rPr>
                <w:rFonts w:ascii="Palatino Linotype" w:hAnsi="Palatino Linotype"/>
                <w:sz w:val="20"/>
              </w:rPr>
            </w:pPr>
            <w:r w:rsidRPr="00E27E68">
              <w:rPr>
                <w:rFonts w:ascii="Palatino Linotype" w:hAnsi="Palatino Linotype"/>
                <w:sz w:val="20"/>
              </w:rPr>
              <w:t>Putting rooftops to use–A Cost-Benefit Analysis of food production vs. energy generation under Mediterranean climates</w:t>
            </w:r>
          </w:p>
        </w:tc>
        <w:tc>
          <w:tcPr>
            <w:tcW w:w="2128" w:type="dxa"/>
          </w:tcPr>
          <w:p w14:paraId="416973FD" w14:textId="2955748C" w:rsidR="00594D12" w:rsidRPr="007304CA" w:rsidRDefault="00594D12" w:rsidP="00594D12">
            <w:pPr>
              <w:rPr>
                <w:rFonts w:ascii="Palatino Linotype" w:hAnsi="Palatino Linotype"/>
                <w:sz w:val="20"/>
              </w:rPr>
            </w:pPr>
            <w:r w:rsidRPr="00E27E68">
              <w:rPr>
                <w:rFonts w:ascii="Palatino Linotype" w:hAnsi="Palatino Linotype"/>
                <w:sz w:val="20"/>
              </w:rPr>
              <w:t>Cities</w:t>
            </w:r>
          </w:p>
        </w:tc>
      </w:tr>
      <w:tr w:rsidR="00594D12" w14:paraId="1F2DF890" w14:textId="77777777" w:rsidTr="00A05244">
        <w:tc>
          <w:tcPr>
            <w:tcW w:w="661" w:type="dxa"/>
          </w:tcPr>
          <w:p w14:paraId="0DA05C1C" w14:textId="705B4BC4" w:rsidR="00594D12" w:rsidRDefault="00594D12" w:rsidP="00594D12">
            <w:pPr>
              <w:rPr>
                <w:rFonts w:ascii="Palatino Linotype" w:hAnsi="Palatino Linotype"/>
                <w:sz w:val="20"/>
              </w:rPr>
            </w:pPr>
            <w:r>
              <w:rPr>
                <w:rFonts w:ascii="Palatino Linotype" w:hAnsi="Palatino Linotype"/>
                <w:sz w:val="20"/>
              </w:rPr>
              <w:t>2018</w:t>
            </w:r>
          </w:p>
        </w:tc>
        <w:tc>
          <w:tcPr>
            <w:tcW w:w="1673" w:type="dxa"/>
          </w:tcPr>
          <w:p w14:paraId="5BFA6521" w14:textId="797688AC" w:rsidR="00594D12" w:rsidRPr="009A485B" w:rsidRDefault="00594D12" w:rsidP="00594D12">
            <w:pPr>
              <w:rPr>
                <w:rFonts w:ascii="Palatino Linotype" w:hAnsi="Palatino Linotype"/>
                <w:sz w:val="20"/>
              </w:rPr>
            </w:pPr>
            <w:r w:rsidRPr="009A485B">
              <w:rPr>
                <w:rFonts w:ascii="Palatino Linotype" w:hAnsi="Palatino Linotype"/>
                <w:sz w:val="20"/>
              </w:rPr>
              <w:t>Cristóbal</w:t>
            </w:r>
            <w:r>
              <w:rPr>
                <w:rFonts w:ascii="Palatino Linotype" w:hAnsi="Palatino Linotype"/>
                <w:sz w:val="20"/>
              </w:rPr>
              <w:t xml:space="preserve"> et al.</w:t>
            </w:r>
          </w:p>
        </w:tc>
        <w:tc>
          <w:tcPr>
            <w:tcW w:w="4010" w:type="dxa"/>
          </w:tcPr>
          <w:p w14:paraId="30067D5A" w14:textId="53663308" w:rsidR="00594D12" w:rsidRPr="00E27E68" w:rsidRDefault="00594D12" w:rsidP="00594D12">
            <w:pPr>
              <w:rPr>
                <w:rFonts w:ascii="Palatino Linotype" w:hAnsi="Palatino Linotype"/>
                <w:sz w:val="20"/>
              </w:rPr>
            </w:pPr>
            <w:r w:rsidRPr="003F19A1">
              <w:rPr>
                <w:rFonts w:ascii="Palatino Linotype" w:hAnsi="Palatino Linotype"/>
                <w:sz w:val="20"/>
              </w:rPr>
              <w:t>Prioritizing and optimizing sustainable measures for food waste</w:t>
            </w:r>
            <w:r>
              <w:rPr>
                <w:rFonts w:ascii="Palatino Linotype" w:hAnsi="Palatino Linotype"/>
                <w:sz w:val="20"/>
              </w:rPr>
              <w:t xml:space="preserve"> </w:t>
            </w:r>
            <w:r w:rsidRPr="003F19A1">
              <w:rPr>
                <w:rFonts w:ascii="Palatino Linotype" w:hAnsi="Palatino Linotype"/>
                <w:sz w:val="20"/>
              </w:rPr>
              <w:t>prevention and management</w:t>
            </w:r>
          </w:p>
        </w:tc>
        <w:tc>
          <w:tcPr>
            <w:tcW w:w="2128" w:type="dxa"/>
          </w:tcPr>
          <w:p w14:paraId="0403C1C9" w14:textId="12C0A030" w:rsidR="00594D12" w:rsidRPr="00E27E68" w:rsidRDefault="00594D12" w:rsidP="00594D12">
            <w:pPr>
              <w:rPr>
                <w:rFonts w:ascii="Palatino Linotype" w:hAnsi="Palatino Linotype"/>
                <w:sz w:val="20"/>
              </w:rPr>
            </w:pPr>
            <w:r w:rsidRPr="003F19A1">
              <w:rPr>
                <w:rFonts w:ascii="Palatino Linotype" w:hAnsi="Palatino Linotype"/>
                <w:sz w:val="20"/>
              </w:rPr>
              <w:t>Waste Management</w:t>
            </w:r>
          </w:p>
        </w:tc>
      </w:tr>
      <w:tr w:rsidR="00594D12" w14:paraId="51585336" w14:textId="77777777" w:rsidTr="00A05244">
        <w:tc>
          <w:tcPr>
            <w:tcW w:w="661" w:type="dxa"/>
          </w:tcPr>
          <w:p w14:paraId="366B9142" w14:textId="6BDF9126" w:rsidR="00594D12" w:rsidRDefault="00594D12" w:rsidP="00594D12">
            <w:pPr>
              <w:rPr>
                <w:rFonts w:ascii="Palatino Linotype" w:hAnsi="Palatino Linotype"/>
                <w:sz w:val="20"/>
              </w:rPr>
            </w:pPr>
            <w:r>
              <w:rPr>
                <w:rFonts w:ascii="Palatino Linotype" w:hAnsi="Palatino Linotype"/>
                <w:sz w:val="20"/>
              </w:rPr>
              <w:t>2018</w:t>
            </w:r>
          </w:p>
        </w:tc>
        <w:tc>
          <w:tcPr>
            <w:tcW w:w="1673" w:type="dxa"/>
          </w:tcPr>
          <w:p w14:paraId="57B06E56" w14:textId="7AD0575C" w:rsidR="00594D12" w:rsidRPr="009A485B" w:rsidRDefault="00594D12" w:rsidP="00594D12">
            <w:pPr>
              <w:rPr>
                <w:rFonts w:ascii="Palatino Linotype" w:hAnsi="Palatino Linotype"/>
                <w:sz w:val="20"/>
              </w:rPr>
            </w:pPr>
            <w:proofErr w:type="spellStart"/>
            <w:r w:rsidRPr="006A3A0D">
              <w:rPr>
                <w:rFonts w:ascii="Palatino Linotype" w:hAnsi="Palatino Linotype"/>
                <w:sz w:val="20"/>
              </w:rPr>
              <w:t>Schaubroeck</w:t>
            </w:r>
            <w:proofErr w:type="spellEnd"/>
            <w:r>
              <w:rPr>
                <w:rFonts w:ascii="Palatino Linotype" w:hAnsi="Palatino Linotype"/>
                <w:sz w:val="20"/>
              </w:rPr>
              <w:t xml:space="preserve"> et al.</w:t>
            </w:r>
          </w:p>
        </w:tc>
        <w:tc>
          <w:tcPr>
            <w:tcW w:w="4010" w:type="dxa"/>
          </w:tcPr>
          <w:p w14:paraId="2685BF85" w14:textId="25B46EAB" w:rsidR="00594D12" w:rsidRPr="00E27E68" w:rsidRDefault="00594D12" w:rsidP="00594D12">
            <w:pPr>
              <w:rPr>
                <w:rFonts w:ascii="Palatino Linotype" w:hAnsi="Palatino Linotype"/>
                <w:sz w:val="20"/>
              </w:rPr>
            </w:pPr>
            <w:r w:rsidRPr="003F19A1">
              <w:rPr>
                <w:rFonts w:ascii="Palatino Linotype" w:hAnsi="Palatino Linotype"/>
                <w:sz w:val="20"/>
              </w:rPr>
              <w:t>A pragmatic framework to score and inform about the environmental sustainability and nutritional profile of canteen meals, a case study on a university canteen.</w:t>
            </w:r>
          </w:p>
        </w:tc>
        <w:tc>
          <w:tcPr>
            <w:tcW w:w="2128" w:type="dxa"/>
          </w:tcPr>
          <w:p w14:paraId="741128D4" w14:textId="16064E8C" w:rsidR="00594D12" w:rsidRPr="00E27E68" w:rsidRDefault="00594D12" w:rsidP="00594D12">
            <w:pPr>
              <w:rPr>
                <w:rFonts w:ascii="Palatino Linotype" w:hAnsi="Palatino Linotype"/>
                <w:sz w:val="20"/>
              </w:rPr>
            </w:pPr>
            <w:r>
              <w:rPr>
                <w:rFonts w:ascii="Palatino Linotype" w:hAnsi="Palatino Linotype"/>
                <w:sz w:val="20"/>
              </w:rPr>
              <w:t>Journal of Cleaner Production</w:t>
            </w:r>
          </w:p>
        </w:tc>
      </w:tr>
      <w:tr w:rsidR="00594D12" w14:paraId="3EE78460" w14:textId="0C6475AE" w:rsidTr="00A05244">
        <w:tc>
          <w:tcPr>
            <w:tcW w:w="661" w:type="dxa"/>
          </w:tcPr>
          <w:p w14:paraId="04E99C64" w14:textId="5F736A0C" w:rsidR="00594D12" w:rsidRDefault="00594D12" w:rsidP="00594D12">
            <w:pPr>
              <w:rPr>
                <w:rFonts w:ascii="Palatino Linotype" w:hAnsi="Palatino Linotype"/>
                <w:sz w:val="20"/>
              </w:rPr>
            </w:pPr>
            <w:r>
              <w:rPr>
                <w:rFonts w:ascii="Palatino Linotype" w:hAnsi="Palatino Linotype"/>
                <w:sz w:val="20"/>
              </w:rPr>
              <w:t>2017</w:t>
            </w:r>
          </w:p>
        </w:tc>
        <w:tc>
          <w:tcPr>
            <w:tcW w:w="1673" w:type="dxa"/>
          </w:tcPr>
          <w:p w14:paraId="112168FF" w14:textId="69B82E0A" w:rsidR="00594D12" w:rsidRDefault="00594D12" w:rsidP="00594D12">
            <w:pPr>
              <w:rPr>
                <w:rFonts w:ascii="Palatino Linotype" w:hAnsi="Palatino Linotype"/>
                <w:sz w:val="20"/>
              </w:rPr>
            </w:pPr>
            <w:proofErr w:type="spellStart"/>
            <w:r w:rsidRPr="0042747F">
              <w:rPr>
                <w:rFonts w:ascii="Palatino Linotype" w:hAnsi="Palatino Linotype"/>
                <w:sz w:val="20"/>
              </w:rPr>
              <w:t>Salemdeeb</w:t>
            </w:r>
            <w:proofErr w:type="spellEnd"/>
            <w:r w:rsidRPr="0042747F">
              <w:rPr>
                <w:rFonts w:ascii="Palatino Linotype" w:hAnsi="Palatino Linotype"/>
                <w:sz w:val="20"/>
              </w:rPr>
              <w:t xml:space="preserve"> </w:t>
            </w:r>
            <w:r>
              <w:rPr>
                <w:rFonts w:ascii="Palatino Linotype" w:hAnsi="Palatino Linotype"/>
                <w:sz w:val="20"/>
              </w:rPr>
              <w:t>et al.</w:t>
            </w:r>
          </w:p>
        </w:tc>
        <w:tc>
          <w:tcPr>
            <w:tcW w:w="4010" w:type="dxa"/>
          </w:tcPr>
          <w:p w14:paraId="49C5A8BF" w14:textId="59CB341C" w:rsidR="00594D12" w:rsidRDefault="00594D12" w:rsidP="00594D12">
            <w:pPr>
              <w:rPr>
                <w:rFonts w:ascii="Palatino Linotype" w:hAnsi="Palatino Linotype"/>
                <w:sz w:val="20"/>
              </w:rPr>
            </w:pPr>
            <w:r w:rsidRPr="00D301DD">
              <w:rPr>
                <w:rFonts w:ascii="Palatino Linotype" w:hAnsi="Palatino Linotype"/>
                <w:sz w:val="20"/>
              </w:rPr>
              <w:t>Environmental and health impacts of using food waste as animal feed: a comparative analysis of food waste management options.</w:t>
            </w:r>
          </w:p>
        </w:tc>
        <w:tc>
          <w:tcPr>
            <w:tcW w:w="2128" w:type="dxa"/>
          </w:tcPr>
          <w:p w14:paraId="05033E53" w14:textId="639B0763" w:rsidR="00594D12" w:rsidRDefault="00594D12" w:rsidP="00594D12">
            <w:pPr>
              <w:rPr>
                <w:rFonts w:ascii="Palatino Linotype" w:hAnsi="Palatino Linotype"/>
                <w:sz w:val="20"/>
              </w:rPr>
            </w:pPr>
            <w:r w:rsidRPr="00D301DD">
              <w:rPr>
                <w:rFonts w:ascii="Palatino Linotype" w:hAnsi="Palatino Linotype"/>
                <w:sz w:val="20"/>
              </w:rPr>
              <w:t>Journal of Cleaner Production</w:t>
            </w:r>
          </w:p>
        </w:tc>
      </w:tr>
      <w:tr w:rsidR="00594D12" w14:paraId="56E0D3C2" w14:textId="77777777" w:rsidTr="00A05244">
        <w:tc>
          <w:tcPr>
            <w:tcW w:w="661" w:type="dxa"/>
          </w:tcPr>
          <w:p w14:paraId="6895B379" w14:textId="1CFDB1F4" w:rsidR="00594D12" w:rsidRDefault="00594D12" w:rsidP="00594D12">
            <w:pPr>
              <w:rPr>
                <w:rFonts w:ascii="Palatino Linotype" w:hAnsi="Palatino Linotype"/>
                <w:sz w:val="20"/>
              </w:rPr>
            </w:pPr>
            <w:r>
              <w:rPr>
                <w:rFonts w:ascii="Palatino Linotype" w:hAnsi="Palatino Linotype"/>
                <w:sz w:val="20"/>
              </w:rPr>
              <w:t>2017</w:t>
            </w:r>
          </w:p>
        </w:tc>
        <w:tc>
          <w:tcPr>
            <w:tcW w:w="1673" w:type="dxa"/>
          </w:tcPr>
          <w:p w14:paraId="52131261" w14:textId="4BA0AD37" w:rsidR="00594D12" w:rsidRPr="0042747F" w:rsidRDefault="00594D12" w:rsidP="00594D12">
            <w:pPr>
              <w:rPr>
                <w:rFonts w:ascii="Palatino Linotype" w:hAnsi="Palatino Linotype"/>
                <w:sz w:val="20"/>
              </w:rPr>
            </w:pPr>
            <w:r w:rsidRPr="00772171">
              <w:rPr>
                <w:rFonts w:ascii="Palatino Linotype" w:hAnsi="Palatino Linotype"/>
                <w:sz w:val="20"/>
              </w:rPr>
              <w:t xml:space="preserve">Lee </w:t>
            </w:r>
            <w:r>
              <w:rPr>
                <w:rFonts w:ascii="Palatino Linotype" w:hAnsi="Palatino Linotype"/>
                <w:sz w:val="20"/>
              </w:rPr>
              <w:t>et al.</w:t>
            </w:r>
          </w:p>
        </w:tc>
        <w:tc>
          <w:tcPr>
            <w:tcW w:w="4010" w:type="dxa"/>
          </w:tcPr>
          <w:p w14:paraId="40B502E2" w14:textId="6E21ED12" w:rsidR="00594D12" w:rsidRPr="00D301DD" w:rsidRDefault="00594D12" w:rsidP="00594D12">
            <w:pPr>
              <w:rPr>
                <w:rFonts w:ascii="Palatino Linotype" w:hAnsi="Palatino Linotype"/>
                <w:sz w:val="20"/>
              </w:rPr>
            </w:pPr>
            <w:r w:rsidRPr="005D5384">
              <w:rPr>
                <w:rFonts w:ascii="Palatino Linotype" w:hAnsi="Palatino Linotype"/>
                <w:sz w:val="20"/>
              </w:rPr>
              <w:t>Comparison and Evaluation of Large-Scale and On-Site Recycling Systems for Food Waste via Life Cycle Cost Analysis</w:t>
            </w:r>
          </w:p>
        </w:tc>
        <w:tc>
          <w:tcPr>
            <w:tcW w:w="2128" w:type="dxa"/>
          </w:tcPr>
          <w:p w14:paraId="7B3C644D" w14:textId="2690C06E" w:rsidR="00594D12" w:rsidRPr="00D301DD" w:rsidRDefault="00594D12" w:rsidP="00594D12">
            <w:pPr>
              <w:rPr>
                <w:rFonts w:ascii="Palatino Linotype" w:hAnsi="Palatino Linotype"/>
                <w:sz w:val="20"/>
              </w:rPr>
            </w:pPr>
            <w:r>
              <w:rPr>
                <w:rFonts w:ascii="Palatino Linotype" w:hAnsi="Palatino Linotype"/>
                <w:sz w:val="20"/>
              </w:rPr>
              <w:t>Sustainability</w:t>
            </w:r>
          </w:p>
        </w:tc>
      </w:tr>
      <w:tr w:rsidR="00594D12" w14:paraId="0F5BD872" w14:textId="77777777" w:rsidTr="00A05244">
        <w:tc>
          <w:tcPr>
            <w:tcW w:w="661" w:type="dxa"/>
          </w:tcPr>
          <w:p w14:paraId="6BDAA507" w14:textId="15ACE81A" w:rsidR="00594D12" w:rsidRDefault="00594D12" w:rsidP="00594D12">
            <w:pPr>
              <w:rPr>
                <w:rFonts w:ascii="Palatino Linotype" w:hAnsi="Palatino Linotype"/>
                <w:sz w:val="20"/>
              </w:rPr>
            </w:pPr>
            <w:r>
              <w:rPr>
                <w:rFonts w:ascii="Palatino Linotype" w:hAnsi="Palatino Linotype"/>
                <w:sz w:val="20"/>
              </w:rPr>
              <w:t>2017</w:t>
            </w:r>
          </w:p>
        </w:tc>
        <w:tc>
          <w:tcPr>
            <w:tcW w:w="1673" w:type="dxa"/>
          </w:tcPr>
          <w:p w14:paraId="3DF9F67A" w14:textId="2550F35B" w:rsidR="00594D12" w:rsidRPr="00772171" w:rsidRDefault="00594D12" w:rsidP="00594D12">
            <w:pPr>
              <w:rPr>
                <w:rFonts w:ascii="Palatino Linotype" w:hAnsi="Palatino Linotype"/>
                <w:sz w:val="20"/>
              </w:rPr>
            </w:pPr>
            <w:r w:rsidRPr="009A485B">
              <w:rPr>
                <w:rFonts w:ascii="Palatino Linotype" w:hAnsi="Palatino Linotype"/>
                <w:sz w:val="20"/>
              </w:rPr>
              <w:t>Diaz-</w:t>
            </w:r>
            <w:proofErr w:type="spellStart"/>
            <w:r w:rsidRPr="009A485B">
              <w:rPr>
                <w:rFonts w:ascii="Palatino Linotype" w:hAnsi="Palatino Linotype"/>
                <w:sz w:val="20"/>
              </w:rPr>
              <w:t>Balteiro</w:t>
            </w:r>
            <w:proofErr w:type="spellEnd"/>
            <w:r w:rsidRPr="009A485B">
              <w:rPr>
                <w:rFonts w:ascii="Palatino Linotype" w:hAnsi="Palatino Linotype"/>
                <w:sz w:val="20"/>
              </w:rPr>
              <w:t xml:space="preserve"> </w:t>
            </w:r>
            <w:r>
              <w:rPr>
                <w:rFonts w:ascii="Palatino Linotype" w:hAnsi="Palatino Linotype"/>
                <w:sz w:val="20"/>
              </w:rPr>
              <w:t>et al.</w:t>
            </w:r>
          </w:p>
        </w:tc>
        <w:tc>
          <w:tcPr>
            <w:tcW w:w="4010" w:type="dxa"/>
          </w:tcPr>
          <w:p w14:paraId="397186C1" w14:textId="2D94AF98" w:rsidR="00594D12" w:rsidRPr="005D5384" w:rsidRDefault="00594D12" w:rsidP="00594D12">
            <w:pPr>
              <w:rPr>
                <w:rFonts w:ascii="Palatino Linotype" w:hAnsi="Palatino Linotype"/>
                <w:sz w:val="20"/>
              </w:rPr>
            </w:pPr>
            <w:r w:rsidRPr="003F19A1">
              <w:rPr>
                <w:rFonts w:ascii="Palatino Linotype" w:hAnsi="Palatino Linotype"/>
                <w:sz w:val="20"/>
              </w:rPr>
              <w:t>Measuring systems sustainability with multi-criteria methods: A critical review</w:t>
            </w:r>
          </w:p>
        </w:tc>
        <w:tc>
          <w:tcPr>
            <w:tcW w:w="2128" w:type="dxa"/>
          </w:tcPr>
          <w:p w14:paraId="534B6B2F" w14:textId="3C212346" w:rsidR="00594D12" w:rsidRDefault="00594D12" w:rsidP="00594D12">
            <w:pPr>
              <w:rPr>
                <w:rFonts w:ascii="Palatino Linotype" w:hAnsi="Palatino Linotype"/>
                <w:sz w:val="20"/>
              </w:rPr>
            </w:pPr>
            <w:r w:rsidRPr="003F19A1">
              <w:rPr>
                <w:rFonts w:ascii="Palatino Linotype" w:hAnsi="Palatino Linotype"/>
                <w:sz w:val="20"/>
              </w:rPr>
              <w:t>European Journal of Operational Research</w:t>
            </w:r>
          </w:p>
        </w:tc>
      </w:tr>
      <w:tr w:rsidR="00594D12" w14:paraId="000EC833" w14:textId="77777777" w:rsidTr="00A05244">
        <w:tc>
          <w:tcPr>
            <w:tcW w:w="661" w:type="dxa"/>
          </w:tcPr>
          <w:p w14:paraId="09AFC901" w14:textId="5E531217" w:rsidR="00594D12" w:rsidRDefault="00594D12" w:rsidP="00594D12">
            <w:pPr>
              <w:rPr>
                <w:rFonts w:ascii="Palatino Linotype" w:hAnsi="Palatino Linotype"/>
                <w:sz w:val="20"/>
              </w:rPr>
            </w:pPr>
            <w:r>
              <w:rPr>
                <w:rFonts w:ascii="Palatino Linotype" w:hAnsi="Palatino Linotype"/>
                <w:sz w:val="20"/>
              </w:rPr>
              <w:t>2017</w:t>
            </w:r>
          </w:p>
        </w:tc>
        <w:tc>
          <w:tcPr>
            <w:tcW w:w="1673" w:type="dxa"/>
          </w:tcPr>
          <w:p w14:paraId="37BEF46B" w14:textId="33E9D825" w:rsidR="00594D12" w:rsidRPr="00772171" w:rsidRDefault="00594D12" w:rsidP="00594D12">
            <w:pPr>
              <w:rPr>
                <w:rFonts w:ascii="Palatino Linotype" w:hAnsi="Palatino Linotype"/>
                <w:sz w:val="20"/>
              </w:rPr>
            </w:pPr>
            <w:proofErr w:type="spellStart"/>
            <w:r w:rsidRPr="009A485B">
              <w:rPr>
                <w:rFonts w:ascii="Palatino Linotype" w:hAnsi="Palatino Linotype"/>
                <w:sz w:val="20"/>
              </w:rPr>
              <w:t>Brancoli</w:t>
            </w:r>
            <w:proofErr w:type="spellEnd"/>
            <w:r w:rsidRPr="009A485B">
              <w:rPr>
                <w:rFonts w:ascii="Palatino Linotype" w:hAnsi="Palatino Linotype"/>
                <w:sz w:val="20"/>
              </w:rPr>
              <w:t xml:space="preserve"> </w:t>
            </w:r>
            <w:r>
              <w:rPr>
                <w:rFonts w:ascii="Palatino Linotype" w:hAnsi="Palatino Linotype"/>
                <w:sz w:val="20"/>
              </w:rPr>
              <w:t>et al.</w:t>
            </w:r>
          </w:p>
        </w:tc>
        <w:tc>
          <w:tcPr>
            <w:tcW w:w="4010" w:type="dxa"/>
          </w:tcPr>
          <w:p w14:paraId="33B38A88" w14:textId="2D15CA7A" w:rsidR="00594D12" w:rsidRPr="005D5384" w:rsidRDefault="00594D12" w:rsidP="00594D12">
            <w:pPr>
              <w:rPr>
                <w:rFonts w:ascii="Palatino Linotype" w:hAnsi="Palatino Linotype"/>
                <w:sz w:val="20"/>
              </w:rPr>
            </w:pPr>
            <w:r w:rsidRPr="003F19A1">
              <w:rPr>
                <w:rFonts w:ascii="Palatino Linotype" w:hAnsi="Palatino Linotype"/>
                <w:sz w:val="20"/>
              </w:rPr>
              <w:t>Life cycle assessment of supermarket food waste</w:t>
            </w:r>
          </w:p>
        </w:tc>
        <w:tc>
          <w:tcPr>
            <w:tcW w:w="2128" w:type="dxa"/>
          </w:tcPr>
          <w:p w14:paraId="09D65F32" w14:textId="3805654A" w:rsidR="00594D12" w:rsidRDefault="00594D12" w:rsidP="00594D12">
            <w:pPr>
              <w:rPr>
                <w:rFonts w:ascii="Palatino Linotype" w:hAnsi="Palatino Linotype"/>
                <w:sz w:val="20"/>
              </w:rPr>
            </w:pPr>
            <w:r w:rsidRPr="003F19A1">
              <w:rPr>
                <w:rFonts w:ascii="Palatino Linotype" w:hAnsi="Palatino Linotype"/>
                <w:sz w:val="20"/>
              </w:rPr>
              <w:t>Resources, Conservation and Recycling</w:t>
            </w:r>
          </w:p>
        </w:tc>
      </w:tr>
      <w:tr w:rsidR="00594D12" w14:paraId="75548AB7" w14:textId="77777777" w:rsidTr="00A05244">
        <w:tc>
          <w:tcPr>
            <w:tcW w:w="661" w:type="dxa"/>
          </w:tcPr>
          <w:p w14:paraId="7FCFBD81" w14:textId="6DE43C1F" w:rsidR="00594D12" w:rsidRDefault="00594D12" w:rsidP="00594D12">
            <w:pPr>
              <w:rPr>
                <w:rFonts w:ascii="Palatino Linotype" w:hAnsi="Palatino Linotype"/>
                <w:sz w:val="20"/>
              </w:rPr>
            </w:pPr>
            <w:r>
              <w:rPr>
                <w:rFonts w:ascii="Palatino Linotype" w:hAnsi="Palatino Linotype"/>
                <w:sz w:val="20"/>
              </w:rPr>
              <w:t>2017</w:t>
            </w:r>
          </w:p>
        </w:tc>
        <w:tc>
          <w:tcPr>
            <w:tcW w:w="1673" w:type="dxa"/>
          </w:tcPr>
          <w:p w14:paraId="5FA6009D" w14:textId="67E35271" w:rsidR="00594D12" w:rsidRPr="009A485B" w:rsidRDefault="00594D12" w:rsidP="00594D12">
            <w:pPr>
              <w:rPr>
                <w:rFonts w:ascii="Palatino Linotype" w:hAnsi="Palatino Linotype"/>
                <w:sz w:val="20"/>
              </w:rPr>
            </w:pPr>
            <w:r w:rsidRPr="006A3A0D">
              <w:rPr>
                <w:rFonts w:ascii="Palatino Linotype" w:hAnsi="Palatino Linotype"/>
                <w:sz w:val="20"/>
              </w:rPr>
              <w:t>Rocha-</w:t>
            </w:r>
            <w:proofErr w:type="spellStart"/>
            <w:r w:rsidRPr="006A3A0D">
              <w:rPr>
                <w:rFonts w:ascii="Palatino Linotype" w:hAnsi="Palatino Linotype"/>
                <w:sz w:val="20"/>
              </w:rPr>
              <w:t>Meneses</w:t>
            </w:r>
            <w:proofErr w:type="spellEnd"/>
            <w:r w:rsidRPr="006A3A0D">
              <w:rPr>
                <w:rFonts w:ascii="Palatino Linotype" w:hAnsi="Palatino Linotype"/>
                <w:sz w:val="20"/>
              </w:rPr>
              <w:t xml:space="preserve"> L, </w:t>
            </w:r>
            <w:proofErr w:type="spellStart"/>
            <w:r w:rsidRPr="006A3A0D">
              <w:rPr>
                <w:rFonts w:ascii="Palatino Linotype" w:hAnsi="Palatino Linotype"/>
                <w:sz w:val="20"/>
              </w:rPr>
              <w:t>Raud</w:t>
            </w:r>
            <w:proofErr w:type="spellEnd"/>
            <w:r w:rsidRPr="006A3A0D">
              <w:rPr>
                <w:rFonts w:ascii="Palatino Linotype" w:hAnsi="Palatino Linotype"/>
                <w:sz w:val="20"/>
              </w:rPr>
              <w:t xml:space="preserve"> M, </w:t>
            </w:r>
            <w:proofErr w:type="spellStart"/>
            <w:r w:rsidRPr="006A3A0D">
              <w:rPr>
                <w:rFonts w:ascii="Palatino Linotype" w:hAnsi="Palatino Linotype"/>
                <w:sz w:val="20"/>
              </w:rPr>
              <w:t>Orupõld</w:t>
            </w:r>
            <w:proofErr w:type="spellEnd"/>
            <w:r w:rsidRPr="006A3A0D">
              <w:rPr>
                <w:rFonts w:ascii="Palatino Linotype" w:hAnsi="Palatino Linotype"/>
                <w:sz w:val="20"/>
              </w:rPr>
              <w:t xml:space="preserve"> K, </w:t>
            </w:r>
            <w:proofErr w:type="spellStart"/>
            <w:r w:rsidRPr="006A3A0D">
              <w:rPr>
                <w:rFonts w:ascii="Palatino Linotype" w:hAnsi="Palatino Linotype"/>
                <w:sz w:val="20"/>
              </w:rPr>
              <w:t>Kikas</w:t>
            </w:r>
            <w:proofErr w:type="spellEnd"/>
            <w:r w:rsidRPr="006A3A0D">
              <w:rPr>
                <w:rFonts w:ascii="Palatino Linotype" w:hAnsi="Palatino Linotype"/>
                <w:sz w:val="20"/>
              </w:rPr>
              <w:t xml:space="preserve"> T.</w:t>
            </w:r>
          </w:p>
        </w:tc>
        <w:tc>
          <w:tcPr>
            <w:tcW w:w="4010" w:type="dxa"/>
          </w:tcPr>
          <w:p w14:paraId="7E725F86" w14:textId="16DEA985" w:rsidR="00594D12" w:rsidRPr="003F19A1" w:rsidRDefault="00594D12" w:rsidP="00594D12">
            <w:pPr>
              <w:rPr>
                <w:rFonts w:ascii="Palatino Linotype" w:hAnsi="Palatino Linotype"/>
                <w:sz w:val="20"/>
              </w:rPr>
            </w:pPr>
            <w:r w:rsidRPr="006A3A0D">
              <w:rPr>
                <w:rFonts w:ascii="Palatino Linotype" w:hAnsi="Palatino Linotype"/>
                <w:sz w:val="20"/>
              </w:rPr>
              <w:t>Second-generation bioethanol production: A review of strategies for waste valorisation</w:t>
            </w:r>
          </w:p>
        </w:tc>
        <w:tc>
          <w:tcPr>
            <w:tcW w:w="2128" w:type="dxa"/>
          </w:tcPr>
          <w:p w14:paraId="04C78561" w14:textId="771A1F71" w:rsidR="00594D12" w:rsidRPr="003F19A1" w:rsidRDefault="00594D12" w:rsidP="00594D12">
            <w:pPr>
              <w:rPr>
                <w:rFonts w:ascii="Palatino Linotype" w:hAnsi="Palatino Linotype"/>
                <w:sz w:val="20"/>
              </w:rPr>
            </w:pPr>
            <w:r>
              <w:rPr>
                <w:rFonts w:ascii="Palatino Linotype" w:hAnsi="Palatino Linotype"/>
                <w:sz w:val="20"/>
              </w:rPr>
              <w:t>Agronomy Research</w:t>
            </w:r>
          </w:p>
        </w:tc>
      </w:tr>
      <w:tr w:rsidR="00594D12" w14:paraId="6AF67A8B" w14:textId="687AACC6" w:rsidTr="00A05244">
        <w:tc>
          <w:tcPr>
            <w:tcW w:w="661" w:type="dxa"/>
          </w:tcPr>
          <w:p w14:paraId="52CE1A4F" w14:textId="15B625BA" w:rsidR="00594D12" w:rsidRDefault="00594D12" w:rsidP="00594D12">
            <w:pPr>
              <w:rPr>
                <w:rFonts w:ascii="Palatino Linotype" w:hAnsi="Palatino Linotype"/>
                <w:sz w:val="20"/>
              </w:rPr>
            </w:pPr>
            <w:r>
              <w:rPr>
                <w:rFonts w:ascii="Palatino Linotype" w:hAnsi="Palatino Linotype"/>
                <w:sz w:val="20"/>
              </w:rPr>
              <w:lastRenderedPageBreak/>
              <w:t>2016</w:t>
            </w:r>
          </w:p>
        </w:tc>
        <w:tc>
          <w:tcPr>
            <w:tcW w:w="1673" w:type="dxa"/>
          </w:tcPr>
          <w:p w14:paraId="47D434D2" w14:textId="07D21702" w:rsidR="00594D12" w:rsidRDefault="00594D12" w:rsidP="00594D12">
            <w:pPr>
              <w:rPr>
                <w:rFonts w:ascii="Palatino Linotype" w:hAnsi="Palatino Linotype"/>
                <w:sz w:val="20"/>
              </w:rPr>
            </w:pPr>
            <w:proofErr w:type="spellStart"/>
            <w:r>
              <w:rPr>
                <w:rFonts w:ascii="Palatino Linotype" w:hAnsi="Palatino Linotype"/>
                <w:sz w:val="20"/>
              </w:rPr>
              <w:t>Dimou</w:t>
            </w:r>
            <w:proofErr w:type="spellEnd"/>
            <w:r>
              <w:rPr>
                <w:rFonts w:ascii="Palatino Linotype" w:hAnsi="Palatino Linotype"/>
                <w:sz w:val="20"/>
              </w:rPr>
              <w:t xml:space="preserve"> C et al.</w:t>
            </w:r>
          </w:p>
        </w:tc>
        <w:tc>
          <w:tcPr>
            <w:tcW w:w="4010" w:type="dxa"/>
          </w:tcPr>
          <w:p w14:paraId="32FB3A40" w14:textId="21C95150" w:rsidR="00594D12" w:rsidRDefault="00594D12" w:rsidP="00594D12">
            <w:pPr>
              <w:rPr>
                <w:rFonts w:ascii="Palatino Linotype" w:hAnsi="Palatino Linotype"/>
                <w:sz w:val="20"/>
              </w:rPr>
            </w:pPr>
            <w:r w:rsidRPr="00720CB7">
              <w:rPr>
                <w:rFonts w:ascii="Palatino Linotype" w:hAnsi="Palatino Linotype"/>
                <w:sz w:val="20"/>
              </w:rPr>
              <w:t xml:space="preserve">Techno-economic evaluation of wine lees refining </w:t>
            </w:r>
            <w:proofErr w:type="gramStart"/>
            <w:r w:rsidRPr="00720CB7">
              <w:rPr>
                <w:rFonts w:ascii="Palatino Linotype" w:hAnsi="Palatino Linotype"/>
                <w:sz w:val="20"/>
              </w:rPr>
              <w:t>for the production of</w:t>
            </w:r>
            <w:proofErr w:type="gramEnd"/>
            <w:r w:rsidRPr="00720CB7">
              <w:rPr>
                <w:rFonts w:ascii="Palatino Linotype" w:hAnsi="Palatino Linotype"/>
                <w:sz w:val="20"/>
              </w:rPr>
              <w:t xml:space="preserve"> value-added products.</w:t>
            </w:r>
          </w:p>
        </w:tc>
        <w:tc>
          <w:tcPr>
            <w:tcW w:w="2128" w:type="dxa"/>
          </w:tcPr>
          <w:p w14:paraId="454311BA" w14:textId="43413CA2" w:rsidR="00594D12" w:rsidRDefault="00594D12" w:rsidP="00594D12">
            <w:pPr>
              <w:rPr>
                <w:rFonts w:ascii="Palatino Linotype" w:hAnsi="Palatino Linotype"/>
                <w:sz w:val="20"/>
              </w:rPr>
            </w:pPr>
            <w:r w:rsidRPr="00720CB7">
              <w:rPr>
                <w:rFonts w:ascii="Palatino Linotype" w:hAnsi="Palatino Linotype"/>
                <w:sz w:val="20"/>
              </w:rPr>
              <w:t>Biochemical engineering journal</w:t>
            </w:r>
          </w:p>
        </w:tc>
      </w:tr>
      <w:tr w:rsidR="00594D12" w14:paraId="4513AD8F" w14:textId="390BF8B1" w:rsidTr="00A05244">
        <w:tc>
          <w:tcPr>
            <w:tcW w:w="661" w:type="dxa"/>
          </w:tcPr>
          <w:p w14:paraId="0CC829C6" w14:textId="4AE3C480" w:rsidR="00594D12" w:rsidRDefault="00594D12" w:rsidP="00594D12">
            <w:pPr>
              <w:rPr>
                <w:rFonts w:ascii="Palatino Linotype" w:hAnsi="Palatino Linotype"/>
                <w:sz w:val="20"/>
              </w:rPr>
            </w:pPr>
            <w:r>
              <w:rPr>
                <w:rFonts w:ascii="Palatino Linotype" w:hAnsi="Palatino Linotype"/>
                <w:sz w:val="20"/>
              </w:rPr>
              <w:t>2016</w:t>
            </w:r>
          </w:p>
        </w:tc>
        <w:tc>
          <w:tcPr>
            <w:tcW w:w="1673" w:type="dxa"/>
          </w:tcPr>
          <w:p w14:paraId="75F74D65" w14:textId="204A23AF" w:rsidR="00594D12" w:rsidRDefault="00594D12" w:rsidP="00594D12">
            <w:pPr>
              <w:rPr>
                <w:rFonts w:ascii="Palatino Linotype" w:hAnsi="Palatino Linotype"/>
                <w:sz w:val="20"/>
              </w:rPr>
            </w:pPr>
            <w:r w:rsidRPr="00D37A6D">
              <w:rPr>
                <w:rFonts w:ascii="Palatino Linotype" w:hAnsi="Palatino Linotype"/>
                <w:sz w:val="20"/>
              </w:rPr>
              <w:t>San Martin D</w:t>
            </w:r>
            <w:r>
              <w:rPr>
                <w:rFonts w:ascii="Palatino Linotype" w:hAnsi="Palatino Linotype"/>
                <w:sz w:val="20"/>
              </w:rPr>
              <w:t xml:space="preserve"> and</w:t>
            </w:r>
            <w:r w:rsidRPr="00D37A6D">
              <w:rPr>
                <w:rFonts w:ascii="Palatino Linotype" w:hAnsi="Palatino Linotype"/>
                <w:sz w:val="20"/>
              </w:rPr>
              <w:t xml:space="preserve"> Ramos S.</w:t>
            </w:r>
          </w:p>
        </w:tc>
        <w:tc>
          <w:tcPr>
            <w:tcW w:w="4010" w:type="dxa"/>
          </w:tcPr>
          <w:p w14:paraId="2B610BF0" w14:textId="0A583237" w:rsidR="00594D12" w:rsidRDefault="00594D12" w:rsidP="00594D12">
            <w:pPr>
              <w:rPr>
                <w:rFonts w:ascii="Palatino Linotype" w:hAnsi="Palatino Linotype"/>
                <w:sz w:val="20"/>
              </w:rPr>
            </w:pPr>
            <w:r w:rsidRPr="00720CB7">
              <w:rPr>
                <w:rFonts w:ascii="Palatino Linotype" w:hAnsi="Palatino Linotype"/>
                <w:sz w:val="20"/>
              </w:rPr>
              <w:t>Valorisation of food waste to produce new raw materials for animal feed</w:t>
            </w:r>
          </w:p>
        </w:tc>
        <w:tc>
          <w:tcPr>
            <w:tcW w:w="2128" w:type="dxa"/>
          </w:tcPr>
          <w:p w14:paraId="1B507C43" w14:textId="74229A78" w:rsidR="00594D12" w:rsidRDefault="00594D12" w:rsidP="00594D12">
            <w:pPr>
              <w:rPr>
                <w:rFonts w:ascii="Palatino Linotype" w:hAnsi="Palatino Linotype"/>
                <w:sz w:val="20"/>
              </w:rPr>
            </w:pPr>
            <w:r w:rsidRPr="00720CB7">
              <w:rPr>
                <w:rFonts w:ascii="Palatino Linotype" w:hAnsi="Palatino Linotype"/>
                <w:sz w:val="20"/>
              </w:rPr>
              <w:t>Food chemistry</w:t>
            </w:r>
          </w:p>
        </w:tc>
      </w:tr>
      <w:tr w:rsidR="00594D12" w14:paraId="2EA7ECE5" w14:textId="77777777" w:rsidTr="00A05244">
        <w:tc>
          <w:tcPr>
            <w:tcW w:w="661" w:type="dxa"/>
          </w:tcPr>
          <w:p w14:paraId="75239F5B" w14:textId="471BB9F5" w:rsidR="00594D12" w:rsidRDefault="00594D12" w:rsidP="00594D12">
            <w:pPr>
              <w:rPr>
                <w:rFonts w:ascii="Palatino Linotype" w:hAnsi="Palatino Linotype"/>
                <w:sz w:val="20"/>
              </w:rPr>
            </w:pPr>
            <w:r>
              <w:rPr>
                <w:rFonts w:ascii="Palatino Linotype" w:hAnsi="Palatino Linotype"/>
                <w:sz w:val="20"/>
              </w:rPr>
              <w:t>2016</w:t>
            </w:r>
          </w:p>
        </w:tc>
        <w:tc>
          <w:tcPr>
            <w:tcW w:w="1673" w:type="dxa"/>
          </w:tcPr>
          <w:p w14:paraId="72A56C41" w14:textId="0DB9D522" w:rsidR="00594D12" w:rsidRPr="00D37A6D" w:rsidRDefault="00594D12" w:rsidP="00594D12">
            <w:pPr>
              <w:rPr>
                <w:rFonts w:ascii="Palatino Linotype" w:hAnsi="Palatino Linotype"/>
                <w:sz w:val="20"/>
              </w:rPr>
            </w:pPr>
            <w:proofErr w:type="spellStart"/>
            <w:r w:rsidRPr="0042747F">
              <w:rPr>
                <w:rFonts w:ascii="Palatino Linotype" w:hAnsi="Palatino Linotype"/>
                <w:sz w:val="20"/>
              </w:rPr>
              <w:t>Amienyo</w:t>
            </w:r>
            <w:proofErr w:type="spellEnd"/>
            <w:r w:rsidRPr="0042747F">
              <w:rPr>
                <w:rFonts w:ascii="Palatino Linotype" w:hAnsi="Palatino Linotype"/>
                <w:sz w:val="20"/>
              </w:rPr>
              <w:t>, D</w:t>
            </w:r>
            <w:r>
              <w:rPr>
                <w:rFonts w:ascii="Palatino Linotype" w:hAnsi="Palatino Linotype"/>
                <w:sz w:val="20"/>
              </w:rPr>
              <w:t xml:space="preserve"> and</w:t>
            </w:r>
            <w:r w:rsidRPr="0042747F">
              <w:rPr>
                <w:rFonts w:ascii="Palatino Linotype" w:hAnsi="Palatino Linotype"/>
                <w:sz w:val="20"/>
              </w:rPr>
              <w:t xml:space="preserve"> </w:t>
            </w:r>
            <w:proofErr w:type="spellStart"/>
            <w:r w:rsidRPr="0042747F">
              <w:rPr>
                <w:rFonts w:ascii="Palatino Linotype" w:hAnsi="Palatino Linotype"/>
                <w:sz w:val="20"/>
              </w:rPr>
              <w:t>Azapagic</w:t>
            </w:r>
            <w:proofErr w:type="spellEnd"/>
            <w:r w:rsidRPr="0042747F">
              <w:rPr>
                <w:rFonts w:ascii="Palatino Linotype" w:hAnsi="Palatino Linotype"/>
                <w:sz w:val="20"/>
              </w:rPr>
              <w:t>, A.</w:t>
            </w:r>
          </w:p>
        </w:tc>
        <w:tc>
          <w:tcPr>
            <w:tcW w:w="4010" w:type="dxa"/>
          </w:tcPr>
          <w:p w14:paraId="4F36DFBD" w14:textId="2D3226C2" w:rsidR="00594D12" w:rsidRPr="00720CB7" w:rsidRDefault="00594D12" w:rsidP="00594D12">
            <w:pPr>
              <w:rPr>
                <w:rFonts w:ascii="Palatino Linotype" w:hAnsi="Palatino Linotype"/>
                <w:sz w:val="20"/>
              </w:rPr>
            </w:pPr>
            <w:r w:rsidRPr="00D301DD">
              <w:rPr>
                <w:rFonts w:ascii="Palatino Linotype" w:hAnsi="Palatino Linotype"/>
                <w:sz w:val="20"/>
              </w:rPr>
              <w:t>Life cycle environmental impacts and costs of beer production and consumption in the UK</w:t>
            </w:r>
          </w:p>
        </w:tc>
        <w:tc>
          <w:tcPr>
            <w:tcW w:w="2128" w:type="dxa"/>
          </w:tcPr>
          <w:p w14:paraId="073245AF" w14:textId="7805BD29" w:rsidR="00594D12" w:rsidRPr="00720CB7" w:rsidRDefault="00594D12" w:rsidP="00594D12">
            <w:pPr>
              <w:rPr>
                <w:rFonts w:ascii="Palatino Linotype" w:hAnsi="Palatino Linotype"/>
                <w:sz w:val="20"/>
              </w:rPr>
            </w:pPr>
            <w:r w:rsidRPr="00D301DD">
              <w:rPr>
                <w:rFonts w:ascii="Palatino Linotype" w:hAnsi="Palatino Linotype"/>
                <w:sz w:val="20"/>
              </w:rPr>
              <w:t>The International Journal of Life Cycle Assessment</w:t>
            </w:r>
          </w:p>
        </w:tc>
      </w:tr>
      <w:tr w:rsidR="00594D12" w14:paraId="348F0CF1" w14:textId="77777777" w:rsidTr="00A05244">
        <w:tc>
          <w:tcPr>
            <w:tcW w:w="661" w:type="dxa"/>
          </w:tcPr>
          <w:p w14:paraId="6F94642A" w14:textId="2F33DA9A" w:rsidR="00594D12" w:rsidRDefault="00594D12" w:rsidP="00594D12">
            <w:pPr>
              <w:rPr>
                <w:rFonts w:ascii="Palatino Linotype" w:hAnsi="Palatino Linotype"/>
                <w:sz w:val="20"/>
              </w:rPr>
            </w:pPr>
            <w:r>
              <w:rPr>
                <w:rFonts w:ascii="Palatino Linotype" w:hAnsi="Palatino Linotype"/>
                <w:sz w:val="20"/>
              </w:rPr>
              <w:t>2016</w:t>
            </w:r>
          </w:p>
        </w:tc>
        <w:tc>
          <w:tcPr>
            <w:tcW w:w="1673" w:type="dxa"/>
          </w:tcPr>
          <w:p w14:paraId="2AD39B0A" w14:textId="735612E5" w:rsidR="00594D12" w:rsidRDefault="00594D12" w:rsidP="00594D12">
            <w:pPr>
              <w:rPr>
                <w:rFonts w:ascii="Palatino Linotype" w:hAnsi="Palatino Linotype"/>
                <w:sz w:val="20"/>
              </w:rPr>
            </w:pPr>
            <w:proofErr w:type="spellStart"/>
            <w:r w:rsidRPr="0042747F">
              <w:rPr>
                <w:rFonts w:ascii="Palatino Linotype" w:hAnsi="Palatino Linotype"/>
                <w:sz w:val="20"/>
              </w:rPr>
              <w:t>Daylan</w:t>
            </w:r>
            <w:proofErr w:type="spellEnd"/>
            <w:r w:rsidRPr="0042747F">
              <w:rPr>
                <w:rFonts w:ascii="Palatino Linotype" w:hAnsi="Palatino Linotype"/>
                <w:sz w:val="20"/>
              </w:rPr>
              <w:t xml:space="preserve"> B</w:t>
            </w:r>
            <w:r>
              <w:rPr>
                <w:rFonts w:ascii="Palatino Linotype" w:hAnsi="Palatino Linotype"/>
                <w:sz w:val="20"/>
              </w:rPr>
              <w:t xml:space="preserve"> and</w:t>
            </w:r>
            <w:r w:rsidRPr="0042747F">
              <w:rPr>
                <w:rFonts w:ascii="Palatino Linotype" w:hAnsi="Palatino Linotype"/>
                <w:sz w:val="20"/>
              </w:rPr>
              <w:t xml:space="preserve"> </w:t>
            </w:r>
            <w:proofErr w:type="spellStart"/>
            <w:r w:rsidRPr="0042747F">
              <w:rPr>
                <w:rFonts w:ascii="Palatino Linotype" w:hAnsi="Palatino Linotype"/>
                <w:sz w:val="20"/>
              </w:rPr>
              <w:t>Ciliz</w:t>
            </w:r>
            <w:proofErr w:type="spellEnd"/>
            <w:r w:rsidRPr="0042747F">
              <w:rPr>
                <w:rFonts w:ascii="Palatino Linotype" w:hAnsi="Palatino Linotype"/>
                <w:sz w:val="20"/>
              </w:rPr>
              <w:t xml:space="preserve"> N.</w:t>
            </w:r>
          </w:p>
        </w:tc>
        <w:tc>
          <w:tcPr>
            <w:tcW w:w="4010" w:type="dxa"/>
          </w:tcPr>
          <w:p w14:paraId="12EFAB2C" w14:textId="481FC9EF" w:rsidR="00594D12" w:rsidRPr="00720CB7" w:rsidRDefault="00594D12" w:rsidP="00594D12">
            <w:pPr>
              <w:rPr>
                <w:rFonts w:ascii="Palatino Linotype" w:hAnsi="Palatino Linotype"/>
                <w:sz w:val="20"/>
              </w:rPr>
            </w:pPr>
            <w:r w:rsidRPr="005D5384">
              <w:rPr>
                <w:rFonts w:ascii="Palatino Linotype" w:hAnsi="Palatino Linotype"/>
                <w:sz w:val="20"/>
              </w:rPr>
              <w:t>Life cycle assessment and environmental life cycle costing analysis of lignocellulosic bioethanol as an alternative transportation fuel.</w:t>
            </w:r>
          </w:p>
        </w:tc>
        <w:tc>
          <w:tcPr>
            <w:tcW w:w="2128" w:type="dxa"/>
          </w:tcPr>
          <w:p w14:paraId="0F8676FA" w14:textId="0692C1A6" w:rsidR="00594D12" w:rsidRPr="00720CB7" w:rsidRDefault="00594D12" w:rsidP="00594D12">
            <w:pPr>
              <w:rPr>
                <w:rFonts w:ascii="Palatino Linotype" w:hAnsi="Palatino Linotype"/>
                <w:sz w:val="20"/>
              </w:rPr>
            </w:pPr>
            <w:r>
              <w:rPr>
                <w:rFonts w:ascii="Palatino Linotype" w:hAnsi="Palatino Linotype"/>
                <w:sz w:val="20"/>
              </w:rPr>
              <w:t>Renewable Energy</w:t>
            </w:r>
          </w:p>
        </w:tc>
      </w:tr>
      <w:tr w:rsidR="00594D12" w14:paraId="76911173" w14:textId="77777777" w:rsidTr="00A05244">
        <w:tc>
          <w:tcPr>
            <w:tcW w:w="661" w:type="dxa"/>
          </w:tcPr>
          <w:p w14:paraId="6EF05543" w14:textId="471BBF64" w:rsidR="00594D12" w:rsidRDefault="00594D12" w:rsidP="00594D12">
            <w:pPr>
              <w:rPr>
                <w:rFonts w:ascii="Palatino Linotype" w:hAnsi="Palatino Linotype"/>
                <w:sz w:val="20"/>
              </w:rPr>
            </w:pPr>
            <w:r>
              <w:rPr>
                <w:rFonts w:ascii="Palatino Linotype" w:hAnsi="Palatino Linotype"/>
                <w:sz w:val="20"/>
              </w:rPr>
              <w:t>2016</w:t>
            </w:r>
          </w:p>
        </w:tc>
        <w:tc>
          <w:tcPr>
            <w:tcW w:w="1673" w:type="dxa"/>
          </w:tcPr>
          <w:p w14:paraId="1503D1C5" w14:textId="0E8A411D" w:rsidR="00594D12" w:rsidRDefault="00594D12" w:rsidP="00594D12">
            <w:pPr>
              <w:rPr>
                <w:rFonts w:ascii="Palatino Linotype" w:hAnsi="Palatino Linotype"/>
                <w:sz w:val="20"/>
              </w:rPr>
            </w:pPr>
            <w:r w:rsidRPr="0042747F">
              <w:rPr>
                <w:rFonts w:ascii="Palatino Linotype" w:hAnsi="Palatino Linotype"/>
                <w:sz w:val="20"/>
              </w:rPr>
              <w:t>Martinez-Sanchez</w:t>
            </w:r>
            <w:r>
              <w:rPr>
                <w:rFonts w:ascii="Palatino Linotype" w:hAnsi="Palatino Linotype"/>
                <w:sz w:val="20"/>
              </w:rPr>
              <w:t xml:space="preserve"> et al.</w:t>
            </w:r>
          </w:p>
        </w:tc>
        <w:tc>
          <w:tcPr>
            <w:tcW w:w="4010" w:type="dxa"/>
          </w:tcPr>
          <w:p w14:paraId="4E9331BB" w14:textId="68F0AA95" w:rsidR="00594D12" w:rsidRPr="00720CB7" w:rsidRDefault="00594D12" w:rsidP="00594D12">
            <w:pPr>
              <w:rPr>
                <w:rFonts w:ascii="Palatino Linotype" w:hAnsi="Palatino Linotype"/>
                <w:sz w:val="20"/>
              </w:rPr>
            </w:pPr>
            <w:r w:rsidRPr="005D5384">
              <w:rPr>
                <w:rFonts w:ascii="Palatino Linotype" w:hAnsi="Palatino Linotype"/>
                <w:sz w:val="20"/>
              </w:rPr>
              <w:t>Life-Cycle Costing of Food Waste Management in Denmark: Importance of Indirect Effects</w:t>
            </w:r>
          </w:p>
        </w:tc>
        <w:tc>
          <w:tcPr>
            <w:tcW w:w="2128" w:type="dxa"/>
          </w:tcPr>
          <w:p w14:paraId="7FE7B17D" w14:textId="73CD070B" w:rsidR="00594D12" w:rsidRPr="00720CB7" w:rsidRDefault="00594D12" w:rsidP="00594D12">
            <w:pPr>
              <w:rPr>
                <w:rFonts w:ascii="Palatino Linotype" w:hAnsi="Palatino Linotype"/>
                <w:sz w:val="20"/>
              </w:rPr>
            </w:pPr>
            <w:r w:rsidRPr="005D5384">
              <w:rPr>
                <w:rFonts w:ascii="Palatino Linotype" w:hAnsi="Palatino Linotype"/>
                <w:sz w:val="20"/>
              </w:rPr>
              <w:t>Environmental Science &amp; Technology</w:t>
            </w:r>
          </w:p>
        </w:tc>
      </w:tr>
      <w:tr w:rsidR="00594D12" w14:paraId="44BA38E2" w14:textId="77777777" w:rsidTr="00A05244">
        <w:tc>
          <w:tcPr>
            <w:tcW w:w="661" w:type="dxa"/>
          </w:tcPr>
          <w:p w14:paraId="36577186" w14:textId="41F9F2D3" w:rsidR="00594D12" w:rsidRDefault="00594D12" w:rsidP="00594D12">
            <w:pPr>
              <w:rPr>
                <w:rFonts w:ascii="Palatino Linotype" w:hAnsi="Palatino Linotype"/>
                <w:sz w:val="20"/>
              </w:rPr>
            </w:pPr>
            <w:r>
              <w:rPr>
                <w:rFonts w:ascii="Palatino Linotype" w:hAnsi="Palatino Linotype"/>
                <w:sz w:val="20"/>
              </w:rPr>
              <w:t>2016</w:t>
            </w:r>
          </w:p>
        </w:tc>
        <w:tc>
          <w:tcPr>
            <w:tcW w:w="1673" w:type="dxa"/>
          </w:tcPr>
          <w:p w14:paraId="53AAE830" w14:textId="2CE55FCC" w:rsidR="00594D12" w:rsidRPr="00261376" w:rsidRDefault="00594D12" w:rsidP="00594D12">
            <w:pPr>
              <w:rPr>
                <w:rFonts w:ascii="Palatino Linotype" w:hAnsi="Palatino Linotype"/>
                <w:sz w:val="20"/>
              </w:rPr>
            </w:pPr>
            <w:r w:rsidRPr="00261376">
              <w:rPr>
                <w:rFonts w:ascii="Palatino Linotype" w:hAnsi="Palatino Linotype"/>
                <w:sz w:val="20"/>
              </w:rPr>
              <w:t xml:space="preserve">De </w:t>
            </w:r>
            <w:proofErr w:type="spellStart"/>
            <w:r w:rsidRPr="00261376">
              <w:rPr>
                <w:rFonts w:ascii="Palatino Linotype" w:hAnsi="Palatino Linotype"/>
                <w:sz w:val="20"/>
              </w:rPr>
              <w:t>Menna</w:t>
            </w:r>
            <w:proofErr w:type="spellEnd"/>
            <w:r w:rsidRPr="00261376">
              <w:rPr>
                <w:rFonts w:ascii="Palatino Linotype" w:hAnsi="Palatino Linotype"/>
                <w:sz w:val="20"/>
              </w:rPr>
              <w:t xml:space="preserve"> F, </w:t>
            </w:r>
            <w:proofErr w:type="spellStart"/>
            <w:r w:rsidRPr="00261376">
              <w:rPr>
                <w:rFonts w:ascii="Palatino Linotype" w:hAnsi="Palatino Linotype"/>
                <w:sz w:val="20"/>
              </w:rPr>
              <w:t>Loubiere</w:t>
            </w:r>
            <w:proofErr w:type="spellEnd"/>
            <w:r w:rsidRPr="00261376">
              <w:rPr>
                <w:rFonts w:ascii="Palatino Linotype" w:hAnsi="Palatino Linotype"/>
                <w:sz w:val="20"/>
              </w:rPr>
              <w:t xml:space="preserve"> M, </w:t>
            </w:r>
            <w:proofErr w:type="spellStart"/>
            <w:r w:rsidRPr="00261376">
              <w:rPr>
                <w:rFonts w:ascii="Palatino Linotype" w:hAnsi="Palatino Linotype"/>
                <w:sz w:val="20"/>
              </w:rPr>
              <w:t>Dietershagen</w:t>
            </w:r>
            <w:proofErr w:type="spellEnd"/>
            <w:r w:rsidRPr="00261376">
              <w:rPr>
                <w:rFonts w:ascii="Palatino Linotype" w:hAnsi="Palatino Linotype"/>
                <w:sz w:val="20"/>
              </w:rPr>
              <w:t xml:space="preserve"> J, </w:t>
            </w:r>
            <w:proofErr w:type="spellStart"/>
            <w:r w:rsidRPr="00261376">
              <w:rPr>
                <w:rFonts w:ascii="Palatino Linotype" w:hAnsi="Palatino Linotype"/>
                <w:sz w:val="20"/>
              </w:rPr>
              <w:t>Vittuari</w:t>
            </w:r>
            <w:proofErr w:type="spellEnd"/>
            <w:r w:rsidRPr="00261376">
              <w:rPr>
                <w:rFonts w:ascii="Palatino Linotype" w:hAnsi="Palatino Linotype"/>
                <w:sz w:val="20"/>
              </w:rPr>
              <w:t xml:space="preserve"> M,</w:t>
            </w:r>
          </w:p>
        </w:tc>
        <w:tc>
          <w:tcPr>
            <w:tcW w:w="4010" w:type="dxa"/>
          </w:tcPr>
          <w:p w14:paraId="5E9A505A" w14:textId="7698D219" w:rsidR="00594D12" w:rsidRPr="00720CB7" w:rsidRDefault="00594D12" w:rsidP="00594D12">
            <w:pPr>
              <w:rPr>
                <w:rFonts w:ascii="Palatino Linotype" w:hAnsi="Palatino Linotype"/>
                <w:sz w:val="20"/>
              </w:rPr>
            </w:pPr>
            <w:r w:rsidRPr="005D5384">
              <w:rPr>
                <w:rFonts w:ascii="Palatino Linotype" w:hAnsi="Palatino Linotype"/>
                <w:sz w:val="20"/>
              </w:rPr>
              <w:t>Methodology for evaluating LCC</w:t>
            </w:r>
          </w:p>
        </w:tc>
        <w:tc>
          <w:tcPr>
            <w:tcW w:w="2128" w:type="dxa"/>
          </w:tcPr>
          <w:p w14:paraId="61098182" w14:textId="5FC103BD" w:rsidR="00594D12" w:rsidRPr="00720CB7" w:rsidRDefault="00594D12" w:rsidP="00594D12">
            <w:pPr>
              <w:rPr>
                <w:rFonts w:ascii="Palatino Linotype" w:hAnsi="Palatino Linotype"/>
                <w:sz w:val="20"/>
              </w:rPr>
            </w:pPr>
            <w:r>
              <w:rPr>
                <w:rFonts w:ascii="Palatino Linotype" w:hAnsi="Palatino Linotype"/>
                <w:sz w:val="20"/>
              </w:rPr>
              <w:t>REFRESH Deliverable 5</w:t>
            </w:r>
          </w:p>
        </w:tc>
      </w:tr>
      <w:tr w:rsidR="00594D12" w14:paraId="4F68933A" w14:textId="77777777" w:rsidTr="00A05244">
        <w:tc>
          <w:tcPr>
            <w:tcW w:w="661" w:type="dxa"/>
          </w:tcPr>
          <w:p w14:paraId="37251C14" w14:textId="0AB950D7" w:rsidR="00594D12" w:rsidRDefault="00594D12" w:rsidP="00594D12">
            <w:pPr>
              <w:rPr>
                <w:rFonts w:ascii="Palatino Linotype" w:hAnsi="Palatino Linotype"/>
                <w:sz w:val="20"/>
              </w:rPr>
            </w:pPr>
            <w:r>
              <w:rPr>
                <w:rFonts w:ascii="Palatino Linotype" w:hAnsi="Palatino Linotype"/>
                <w:sz w:val="20"/>
              </w:rPr>
              <w:t>2016</w:t>
            </w:r>
          </w:p>
        </w:tc>
        <w:tc>
          <w:tcPr>
            <w:tcW w:w="1673" w:type="dxa"/>
          </w:tcPr>
          <w:p w14:paraId="25B30D46" w14:textId="025F0028" w:rsidR="00594D12" w:rsidRDefault="00594D12" w:rsidP="00594D12">
            <w:pPr>
              <w:rPr>
                <w:rFonts w:ascii="Palatino Linotype" w:hAnsi="Palatino Linotype"/>
                <w:sz w:val="20"/>
              </w:rPr>
            </w:pPr>
            <w:proofErr w:type="spellStart"/>
            <w:r w:rsidRPr="00772171">
              <w:rPr>
                <w:rFonts w:ascii="Palatino Linotype" w:hAnsi="Palatino Linotype"/>
                <w:sz w:val="20"/>
              </w:rPr>
              <w:t>Christoforou</w:t>
            </w:r>
            <w:proofErr w:type="spellEnd"/>
            <w:r w:rsidRPr="00772171">
              <w:rPr>
                <w:rFonts w:ascii="Palatino Linotype" w:hAnsi="Palatino Linotype"/>
                <w:sz w:val="20"/>
              </w:rPr>
              <w:t xml:space="preserve"> E, </w:t>
            </w:r>
            <w:proofErr w:type="spellStart"/>
            <w:r w:rsidRPr="00772171">
              <w:rPr>
                <w:rFonts w:ascii="Palatino Linotype" w:hAnsi="Palatino Linotype"/>
                <w:sz w:val="20"/>
              </w:rPr>
              <w:t>Kylili</w:t>
            </w:r>
            <w:proofErr w:type="spellEnd"/>
            <w:r w:rsidRPr="00772171">
              <w:rPr>
                <w:rFonts w:ascii="Palatino Linotype" w:hAnsi="Palatino Linotype"/>
                <w:sz w:val="20"/>
              </w:rPr>
              <w:t xml:space="preserve"> A, </w:t>
            </w:r>
            <w:proofErr w:type="spellStart"/>
            <w:r w:rsidRPr="00772171">
              <w:rPr>
                <w:rFonts w:ascii="Palatino Linotype" w:hAnsi="Palatino Linotype"/>
                <w:sz w:val="20"/>
              </w:rPr>
              <w:t>Fokaides</w:t>
            </w:r>
            <w:proofErr w:type="spellEnd"/>
            <w:r w:rsidRPr="00772171">
              <w:rPr>
                <w:rFonts w:ascii="Palatino Linotype" w:hAnsi="Palatino Linotype"/>
                <w:sz w:val="20"/>
              </w:rPr>
              <w:t xml:space="preserve"> PA.</w:t>
            </w:r>
          </w:p>
        </w:tc>
        <w:tc>
          <w:tcPr>
            <w:tcW w:w="4010" w:type="dxa"/>
          </w:tcPr>
          <w:p w14:paraId="61110062" w14:textId="1195ACEA" w:rsidR="00594D12" w:rsidRPr="00720CB7" w:rsidRDefault="00594D12" w:rsidP="00594D12">
            <w:pPr>
              <w:rPr>
                <w:rFonts w:ascii="Palatino Linotype" w:hAnsi="Palatino Linotype"/>
                <w:sz w:val="20"/>
              </w:rPr>
            </w:pPr>
            <w:r>
              <w:rPr>
                <w:rFonts w:ascii="Palatino Linotype" w:hAnsi="Palatino Linotype"/>
                <w:sz w:val="20"/>
              </w:rPr>
              <w:t>T</w:t>
            </w:r>
            <w:r w:rsidRPr="005D5384">
              <w:rPr>
                <w:rFonts w:ascii="Palatino Linotype" w:hAnsi="Palatino Linotype"/>
                <w:sz w:val="20"/>
              </w:rPr>
              <w:t>echnical and economical evaluation of olive mills solid waste pellets.</w:t>
            </w:r>
          </w:p>
        </w:tc>
        <w:tc>
          <w:tcPr>
            <w:tcW w:w="2128" w:type="dxa"/>
          </w:tcPr>
          <w:p w14:paraId="64489427" w14:textId="36175132" w:rsidR="00594D12" w:rsidRPr="00720CB7" w:rsidRDefault="00594D12" w:rsidP="00594D12">
            <w:pPr>
              <w:rPr>
                <w:rFonts w:ascii="Palatino Linotype" w:hAnsi="Palatino Linotype"/>
                <w:sz w:val="20"/>
              </w:rPr>
            </w:pPr>
            <w:r w:rsidRPr="005D5384">
              <w:rPr>
                <w:rFonts w:ascii="Palatino Linotype" w:hAnsi="Palatino Linotype"/>
                <w:sz w:val="20"/>
              </w:rPr>
              <w:t>Renewable Energy</w:t>
            </w:r>
          </w:p>
        </w:tc>
      </w:tr>
      <w:tr w:rsidR="00594D12" w14:paraId="19B5C738" w14:textId="77777777" w:rsidTr="00A05244">
        <w:tc>
          <w:tcPr>
            <w:tcW w:w="661" w:type="dxa"/>
          </w:tcPr>
          <w:p w14:paraId="4AB0469F" w14:textId="327DA5DC" w:rsidR="00594D12" w:rsidRDefault="00594D12" w:rsidP="00594D12">
            <w:pPr>
              <w:rPr>
                <w:rFonts w:ascii="Palatino Linotype" w:hAnsi="Palatino Linotype"/>
                <w:sz w:val="20"/>
              </w:rPr>
            </w:pPr>
            <w:r>
              <w:rPr>
                <w:rFonts w:ascii="Palatino Linotype" w:hAnsi="Palatino Linotype"/>
                <w:sz w:val="20"/>
              </w:rPr>
              <w:t>2016</w:t>
            </w:r>
          </w:p>
        </w:tc>
        <w:tc>
          <w:tcPr>
            <w:tcW w:w="1673" w:type="dxa"/>
          </w:tcPr>
          <w:p w14:paraId="679227F6" w14:textId="1950C1B7" w:rsidR="00594D12" w:rsidRPr="00772171" w:rsidRDefault="00594D12" w:rsidP="00594D12">
            <w:pPr>
              <w:rPr>
                <w:rFonts w:ascii="Palatino Linotype" w:hAnsi="Palatino Linotype"/>
                <w:sz w:val="20"/>
              </w:rPr>
            </w:pPr>
            <w:proofErr w:type="spellStart"/>
            <w:r w:rsidRPr="003F19A1">
              <w:rPr>
                <w:rFonts w:ascii="Palatino Linotype" w:hAnsi="Palatino Linotype"/>
                <w:sz w:val="20"/>
              </w:rPr>
              <w:t>Guinée</w:t>
            </w:r>
            <w:proofErr w:type="spellEnd"/>
            <w:r w:rsidRPr="003F19A1">
              <w:rPr>
                <w:rFonts w:ascii="Palatino Linotype" w:hAnsi="Palatino Linotype"/>
                <w:sz w:val="20"/>
              </w:rPr>
              <w:t xml:space="preserve"> J</w:t>
            </w:r>
          </w:p>
        </w:tc>
        <w:tc>
          <w:tcPr>
            <w:tcW w:w="4010" w:type="dxa"/>
          </w:tcPr>
          <w:p w14:paraId="6D13FF47" w14:textId="4A244652" w:rsidR="00594D12" w:rsidRDefault="00594D12" w:rsidP="00594D12">
            <w:pPr>
              <w:rPr>
                <w:rFonts w:ascii="Palatino Linotype" w:hAnsi="Palatino Linotype"/>
                <w:sz w:val="20"/>
              </w:rPr>
            </w:pPr>
            <w:r w:rsidRPr="003F19A1">
              <w:rPr>
                <w:rFonts w:ascii="Palatino Linotype" w:hAnsi="Palatino Linotype"/>
                <w:sz w:val="20"/>
              </w:rPr>
              <w:t>Life cycle sustainability assessment: What is it and what are its challenges?</w:t>
            </w:r>
          </w:p>
        </w:tc>
        <w:tc>
          <w:tcPr>
            <w:tcW w:w="2128" w:type="dxa"/>
          </w:tcPr>
          <w:p w14:paraId="33352AC0" w14:textId="6CAAA482" w:rsidR="00594D12" w:rsidRPr="005D5384" w:rsidRDefault="00594D12" w:rsidP="00594D12">
            <w:pPr>
              <w:rPr>
                <w:rFonts w:ascii="Palatino Linotype" w:hAnsi="Palatino Linotype"/>
                <w:sz w:val="20"/>
              </w:rPr>
            </w:pPr>
            <w:r w:rsidRPr="003F19A1">
              <w:rPr>
                <w:rFonts w:ascii="Palatino Linotype" w:hAnsi="Palatino Linotype"/>
                <w:sz w:val="20"/>
              </w:rPr>
              <w:t>In</w:t>
            </w:r>
            <w:r>
              <w:rPr>
                <w:rFonts w:ascii="Palatino Linotype" w:hAnsi="Palatino Linotype"/>
                <w:sz w:val="20"/>
              </w:rPr>
              <w:t xml:space="preserve"> T</w:t>
            </w:r>
            <w:r w:rsidRPr="003F19A1">
              <w:rPr>
                <w:rFonts w:ascii="Palatino Linotype" w:hAnsi="Palatino Linotype"/>
                <w:sz w:val="20"/>
              </w:rPr>
              <w:t>aking stock of industrial ecology 2016 (pp. 45-68). Springer</w:t>
            </w:r>
          </w:p>
        </w:tc>
      </w:tr>
      <w:tr w:rsidR="00594D12" w14:paraId="30DDFF20" w14:textId="77777777" w:rsidTr="00A05244">
        <w:tc>
          <w:tcPr>
            <w:tcW w:w="661" w:type="dxa"/>
          </w:tcPr>
          <w:p w14:paraId="49B7FC7E" w14:textId="4151285D" w:rsidR="00594D12" w:rsidRDefault="00594D12" w:rsidP="00594D12">
            <w:pPr>
              <w:rPr>
                <w:rFonts w:ascii="Palatino Linotype" w:hAnsi="Palatino Linotype"/>
                <w:sz w:val="20"/>
              </w:rPr>
            </w:pPr>
            <w:r>
              <w:rPr>
                <w:rFonts w:ascii="Palatino Linotype" w:hAnsi="Palatino Linotype"/>
                <w:sz w:val="20"/>
              </w:rPr>
              <w:t>2016</w:t>
            </w:r>
          </w:p>
        </w:tc>
        <w:tc>
          <w:tcPr>
            <w:tcW w:w="1673" w:type="dxa"/>
          </w:tcPr>
          <w:p w14:paraId="61864F13" w14:textId="77777777" w:rsidR="00594D12" w:rsidRDefault="00594D12" w:rsidP="00594D12">
            <w:pPr>
              <w:rPr>
                <w:rFonts w:ascii="Palatino Linotype" w:hAnsi="Palatino Linotype"/>
                <w:sz w:val="20"/>
              </w:rPr>
            </w:pPr>
          </w:p>
          <w:p w14:paraId="325E43B8" w14:textId="78947D31" w:rsidR="00594D12" w:rsidRPr="00772171" w:rsidRDefault="00594D12" w:rsidP="00594D12">
            <w:pPr>
              <w:rPr>
                <w:rFonts w:ascii="Palatino Linotype" w:hAnsi="Palatino Linotype"/>
                <w:sz w:val="20"/>
              </w:rPr>
            </w:pPr>
            <w:r w:rsidRPr="006A3A0D">
              <w:rPr>
                <w:rFonts w:ascii="Palatino Linotype" w:hAnsi="Palatino Linotype"/>
                <w:sz w:val="20"/>
              </w:rPr>
              <w:t>Chong, Y</w:t>
            </w:r>
            <w:r>
              <w:rPr>
                <w:rFonts w:ascii="Palatino Linotype" w:hAnsi="Palatino Linotype"/>
                <w:sz w:val="20"/>
              </w:rPr>
              <w:t xml:space="preserve"> and</w:t>
            </w:r>
            <w:r w:rsidRPr="006A3A0D">
              <w:rPr>
                <w:rFonts w:ascii="Palatino Linotype" w:hAnsi="Palatino Linotype"/>
                <w:sz w:val="20"/>
              </w:rPr>
              <w:t xml:space="preserve"> Teo, K.</w:t>
            </w:r>
          </w:p>
        </w:tc>
        <w:tc>
          <w:tcPr>
            <w:tcW w:w="4010" w:type="dxa"/>
          </w:tcPr>
          <w:p w14:paraId="6558AA6E" w14:textId="7393B337" w:rsidR="00594D12" w:rsidRDefault="00594D12" w:rsidP="00594D12">
            <w:pPr>
              <w:rPr>
                <w:rFonts w:ascii="Palatino Linotype" w:hAnsi="Palatino Linotype"/>
                <w:sz w:val="20"/>
              </w:rPr>
            </w:pPr>
            <w:r w:rsidRPr="006A3A0D">
              <w:rPr>
                <w:rFonts w:ascii="Palatino Linotype" w:hAnsi="Palatino Linotype"/>
                <w:sz w:val="20"/>
              </w:rPr>
              <w:t>A lifecycle-based sustainability indicator framework for waste-to-energy systems and a proposed metric of sustainability.</w:t>
            </w:r>
          </w:p>
        </w:tc>
        <w:tc>
          <w:tcPr>
            <w:tcW w:w="2128" w:type="dxa"/>
          </w:tcPr>
          <w:p w14:paraId="158F2DD5" w14:textId="044F2CE9" w:rsidR="00594D12" w:rsidRPr="005D5384" w:rsidRDefault="00594D12" w:rsidP="00594D12">
            <w:pPr>
              <w:rPr>
                <w:rFonts w:ascii="Palatino Linotype" w:hAnsi="Palatino Linotype"/>
                <w:sz w:val="20"/>
              </w:rPr>
            </w:pPr>
            <w:r>
              <w:rPr>
                <w:rFonts w:ascii="Palatino Linotype" w:hAnsi="Palatino Linotype"/>
                <w:sz w:val="20"/>
              </w:rPr>
              <w:t>Renewable and Sustainable Energy</w:t>
            </w:r>
          </w:p>
        </w:tc>
      </w:tr>
      <w:tr w:rsidR="00594D12" w14:paraId="09270443" w14:textId="77777777" w:rsidTr="00A05244">
        <w:tc>
          <w:tcPr>
            <w:tcW w:w="661" w:type="dxa"/>
          </w:tcPr>
          <w:p w14:paraId="79E509F5" w14:textId="43B7FDFC" w:rsidR="00594D12" w:rsidRDefault="00594D12" w:rsidP="00594D12">
            <w:pPr>
              <w:rPr>
                <w:rFonts w:ascii="Palatino Linotype" w:hAnsi="Palatino Linotype"/>
                <w:sz w:val="20"/>
              </w:rPr>
            </w:pPr>
            <w:r>
              <w:rPr>
                <w:rFonts w:ascii="Palatino Linotype" w:hAnsi="Palatino Linotype"/>
                <w:sz w:val="20"/>
              </w:rPr>
              <w:t>2015</w:t>
            </w:r>
          </w:p>
        </w:tc>
        <w:tc>
          <w:tcPr>
            <w:tcW w:w="1673" w:type="dxa"/>
          </w:tcPr>
          <w:p w14:paraId="62BBFFCD" w14:textId="049775E8" w:rsidR="00594D12" w:rsidRDefault="00594D12" w:rsidP="00594D12">
            <w:pPr>
              <w:rPr>
                <w:rFonts w:ascii="Palatino Linotype" w:hAnsi="Palatino Linotype"/>
                <w:sz w:val="20"/>
              </w:rPr>
            </w:pPr>
            <w:r w:rsidRPr="0042747F">
              <w:rPr>
                <w:rFonts w:ascii="Palatino Linotype" w:hAnsi="Palatino Linotype"/>
                <w:sz w:val="20"/>
              </w:rPr>
              <w:t>Kwan</w:t>
            </w:r>
            <w:r>
              <w:rPr>
                <w:rFonts w:ascii="Palatino Linotype" w:hAnsi="Palatino Linotype"/>
                <w:sz w:val="20"/>
              </w:rPr>
              <w:t xml:space="preserve"> et al.</w:t>
            </w:r>
          </w:p>
        </w:tc>
        <w:tc>
          <w:tcPr>
            <w:tcW w:w="4010" w:type="dxa"/>
          </w:tcPr>
          <w:p w14:paraId="615148CB" w14:textId="4192F217" w:rsidR="00594D12" w:rsidRPr="00720CB7" w:rsidRDefault="00594D12" w:rsidP="00594D12">
            <w:pPr>
              <w:rPr>
                <w:rFonts w:ascii="Palatino Linotype" w:hAnsi="Palatino Linotype"/>
                <w:sz w:val="20"/>
              </w:rPr>
            </w:pPr>
            <w:r w:rsidRPr="00D301DD">
              <w:rPr>
                <w:rFonts w:ascii="Palatino Linotype" w:hAnsi="Palatino Linotype"/>
                <w:sz w:val="20"/>
              </w:rPr>
              <w:t>Techno-economic analysis of a food waste valorization process via microalgae cultivation and co-production of plasticizer, lactic acid and animal feed from algal biomass and food waste</w:t>
            </w:r>
          </w:p>
        </w:tc>
        <w:tc>
          <w:tcPr>
            <w:tcW w:w="2128" w:type="dxa"/>
          </w:tcPr>
          <w:p w14:paraId="06626E1D" w14:textId="3D5E27A9" w:rsidR="00594D12" w:rsidRPr="00720CB7" w:rsidRDefault="00594D12" w:rsidP="00594D12">
            <w:pPr>
              <w:rPr>
                <w:rFonts w:ascii="Palatino Linotype" w:hAnsi="Palatino Linotype"/>
                <w:sz w:val="20"/>
              </w:rPr>
            </w:pPr>
            <w:r w:rsidRPr="00D301DD">
              <w:rPr>
                <w:rFonts w:ascii="Palatino Linotype" w:hAnsi="Palatino Linotype"/>
                <w:sz w:val="20"/>
              </w:rPr>
              <w:t>Bioresource technology</w:t>
            </w:r>
          </w:p>
        </w:tc>
      </w:tr>
      <w:tr w:rsidR="00594D12" w14:paraId="162E2FEF" w14:textId="77777777" w:rsidTr="00A05244">
        <w:tc>
          <w:tcPr>
            <w:tcW w:w="661" w:type="dxa"/>
          </w:tcPr>
          <w:p w14:paraId="1D00E7E3" w14:textId="602446EC" w:rsidR="00594D12" w:rsidRDefault="00594D12" w:rsidP="00594D12">
            <w:pPr>
              <w:rPr>
                <w:rFonts w:ascii="Palatino Linotype" w:hAnsi="Palatino Linotype"/>
                <w:sz w:val="20"/>
              </w:rPr>
            </w:pPr>
            <w:r>
              <w:rPr>
                <w:rFonts w:ascii="Palatino Linotype" w:hAnsi="Palatino Linotype"/>
                <w:sz w:val="20"/>
              </w:rPr>
              <w:t>2015</w:t>
            </w:r>
          </w:p>
        </w:tc>
        <w:tc>
          <w:tcPr>
            <w:tcW w:w="1673" w:type="dxa"/>
          </w:tcPr>
          <w:p w14:paraId="46CCB3CD" w14:textId="6AC1C557" w:rsidR="00594D12" w:rsidRDefault="00594D12" w:rsidP="00594D12">
            <w:pPr>
              <w:rPr>
                <w:rFonts w:ascii="Palatino Linotype" w:hAnsi="Palatino Linotype"/>
                <w:sz w:val="20"/>
              </w:rPr>
            </w:pPr>
            <w:proofErr w:type="spellStart"/>
            <w:r w:rsidRPr="0042747F">
              <w:rPr>
                <w:rFonts w:ascii="Palatino Linotype" w:hAnsi="Palatino Linotype"/>
                <w:sz w:val="20"/>
              </w:rPr>
              <w:t>Scherhaufer</w:t>
            </w:r>
            <w:proofErr w:type="spellEnd"/>
            <w:r>
              <w:rPr>
                <w:rFonts w:ascii="Palatino Linotype" w:hAnsi="Palatino Linotype"/>
                <w:sz w:val="20"/>
              </w:rPr>
              <w:t xml:space="preserve"> et al.</w:t>
            </w:r>
          </w:p>
        </w:tc>
        <w:tc>
          <w:tcPr>
            <w:tcW w:w="4010" w:type="dxa"/>
          </w:tcPr>
          <w:p w14:paraId="361A8C20" w14:textId="26BC933E" w:rsidR="00594D12" w:rsidRPr="00D301DD" w:rsidRDefault="00594D12" w:rsidP="00594D12">
            <w:pPr>
              <w:rPr>
                <w:rFonts w:ascii="Palatino Linotype" w:hAnsi="Palatino Linotype"/>
                <w:sz w:val="20"/>
              </w:rPr>
            </w:pPr>
            <w:r w:rsidRPr="00D301DD">
              <w:rPr>
                <w:rFonts w:ascii="Palatino Linotype" w:hAnsi="Palatino Linotype"/>
                <w:sz w:val="20"/>
              </w:rPr>
              <w:t>Criteria for and baseline assessment of environmental and socio-economic impacts of food waste</w:t>
            </w:r>
          </w:p>
        </w:tc>
        <w:tc>
          <w:tcPr>
            <w:tcW w:w="2128" w:type="dxa"/>
          </w:tcPr>
          <w:p w14:paraId="337E7A7F" w14:textId="2B6975EF" w:rsidR="00594D12" w:rsidRPr="00D301DD" w:rsidRDefault="00594D12" w:rsidP="00594D12">
            <w:pPr>
              <w:rPr>
                <w:rFonts w:ascii="Palatino Linotype" w:hAnsi="Palatino Linotype"/>
                <w:sz w:val="20"/>
              </w:rPr>
            </w:pPr>
            <w:proofErr w:type="spellStart"/>
            <w:r>
              <w:rPr>
                <w:rFonts w:ascii="Palatino Linotype" w:hAnsi="Palatino Linotype"/>
                <w:sz w:val="20"/>
              </w:rPr>
              <w:t>Fushions</w:t>
            </w:r>
            <w:proofErr w:type="spellEnd"/>
          </w:p>
        </w:tc>
      </w:tr>
      <w:tr w:rsidR="00594D12" w14:paraId="5CA78E80" w14:textId="77777777" w:rsidTr="00A05244">
        <w:tc>
          <w:tcPr>
            <w:tcW w:w="661" w:type="dxa"/>
          </w:tcPr>
          <w:p w14:paraId="04F1967B" w14:textId="07DE2573" w:rsidR="00594D12" w:rsidRDefault="00594D12" w:rsidP="00594D12">
            <w:pPr>
              <w:rPr>
                <w:rFonts w:ascii="Palatino Linotype" w:hAnsi="Palatino Linotype"/>
                <w:sz w:val="20"/>
              </w:rPr>
            </w:pPr>
            <w:r>
              <w:rPr>
                <w:rFonts w:ascii="Palatino Linotype" w:hAnsi="Palatino Linotype"/>
                <w:sz w:val="20"/>
              </w:rPr>
              <w:t>2014</w:t>
            </w:r>
          </w:p>
        </w:tc>
        <w:tc>
          <w:tcPr>
            <w:tcW w:w="1673" w:type="dxa"/>
          </w:tcPr>
          <w:p w14:paraId="43269811" w14:textId="704F5529" w:rsidR="00594D12" w:rsidRDefault="00594D12" w:rsidP="00594D12">
            <w:pPr>
              <w:rPr>
                <w:rFonts w:ascii="Palatino Linotype" w:hAnsi="Palatino Linotype"/>
                <w:sz w:val="20"/>
              </w:rPr>
            </w:pPr>
            <w:proofErr w:type="spellStart"/>
            <w:r w:rsidRPr="0042747F">
              <w:rPr>
                <w:rFonts w:ascii="Palatino Linotype" w:hAnsi="Palatino Linotype"/>
                <w:sz w:val="20"/>
              </w:rPr>
              <w:t>Vandermeersch</w:t>
            </w:r>
            <w:proofErr w:type="spellEnd"/>
            <w:r w:rsidRPr="0042747F">
              <w:rPr>
                <w:rFonts w:ascii="Palatino Linotype" w:hAnsi="Palatino Linotype"/>
                <w:sz w:val="20"/>
              </w:rPr>
              <w:t xml:space="preserve"> T, Alvarenga RA, </w:t>
            </w:r>
            <w:proofErr w:type="spellStart"/>
            <w:r w:rsidRPr="0042747F">
              <w:rPr>
                <w:rFonts w:ascii="Palatino Linotype" w:hAnsi="Palatino Linotype"/>
                <w:sz w:val="20"/>
              </w:rPr>
              <w:t>Ragaert</w:t>
            </w:r>
            <w:proofErr w:type="spellEnd"/>
            <w:r w:rsidRPr="0042747F">
              <w:rPr>
                <w:rFonts w:ascii="Palatino Linotype" w:hAnsi="Palatino Linotype"/>
                <w:sz w:val="20"/>
              </w:rPr>
              <w:t xml:space="preserve"> P, </w:t>
            </w:r>
            <w:proofErr w:type="gramStart"/>
            <w:r w:rsidRPr="0042747F">
              <w:rPr>
                <w:rFonts w:ascii="Palatino Linotype" w:hAnsi="Palatino Linotype"/>
                <w:sz w:val="20"/>
              </w:rPr>
              <w:t>D.J</w:t>
            </w:r>
            <w:proofErr w:type="gramEnd"/>
          </w:p>
        </w:tc>
        <w:tc>
          <w:tcPr>
            <w:tcW w:w="4010" w:type="dxa"/>
          </w:tcPr>
          <w:p w14:paraId="3AA4A489" w14:textId="2E83026D" w:rsidR="00594D12" w:rsidRPr="00D301DD" w:rsidRDefault="00594D12" w:rsidP="00594D12">
            <w:pPr>
              <w:rPr>
                <w:rFonts w:ascii="Palatino Linotype" w:hAnsi="Palatino Linotype"/>
                <w:sz w:val="20"/>
              </w:rPr>
            </w:pPr>
            <w:r w:rsidRPr="00D301DD">
              <w:rPr>
                <w:rFonts w:ascii="Palatino Linotype" w:hAnsi="Palatino Linotype"/>
                <w:sz w:val="20"/>
              </w:rPr>
              <w:t>Environmental sustainability assessment of food waste valorization options</w:t>
            </w:r>
          </w:p>
        </w:tc>
        <w:tc>
          <w:tcPr>
            <w:tcW w:w="2128" w:type="dxa"/>
          </w:tcPr>
          <w:p w14:paraId="5948E5DF" w14:textId="7300E53D" w:rsidR="00594D12" w:rsidRPr="00D301DD" w:rsidRDefault="00594D12" w:rsidP="00594D12">
            <w:pPr>
              <w:rPr>
                <w:rFonts w:ascii="Palatino Linotype" w:hAnsi="Palatino Linotype"/>
                <w:sz w:val="20"/>
              </w:rPr>
            </w:pPr>
            <w:r w:rsidRPr="00D301DD">
              <w:rPr>
                <w:rFonts w:ascii="Palatino Linotype" w:hAnsi="Palatino Linotype"/>
                <w:sz w:val="20"/>
              </w:rPr>
              <w:t>Resources, Conservation and Recycling</w:t>
            </w:r>
          </w:p>
        </w:tc>
      </w:tr>
      <w:tr w:rsidR="00594D12" w14:paraId="1E88240C" w14:textId="77777777" w:rsidTr="00A05244">
        <w:tc>
          <w:tcPr>
            <w:tcW w:w="661" w:type="dxa"/>
          </w:tcPr>
          <w:p w14:paraId="2312B352" w14:textId="0467469B" w:rsidR="00594D12" w:rsidRDefault="00594D12" w:rsidP="00594D12">
            <w:pPr>
              <w:rPr>
                <w:rFonts w:ascii="Palatino Linotype" w:hAnsi="Palatino Linotype"/>
                <w:sz w:val="20"/>
              </w:rPr>
            </w:pPr>
            <w:r>
              <w:rPr>
                <w:rFonts w:ascii="Palatino Linotype" w:hAnsi="Palatino Linotype"/>
                <w:sz w:val="20"/>
              </w:rPr>
              <w:t>2014</w:t>
            </w:r>
          </w:p>
        </w:tc>
        <w:tc>
          <w:tcPr>
            <w:tcW w:w="1673" w:type="dxa"/>
          </w:tcPr>
          <w:p w14:paraId="1F761D12" w14:textId="090C5C16" w:rsidR="00594D12" w:rsidRDefault="00594D12" w:rsidP="00594D12">
            <w:pPr>
              <w:rPr>
                <w:rFonts w:ascii="Palatino Linotype" w:hAnsi="Palatino Linotype"/>
                <w:sz w:val="20"/>
              </w:rPr>
            </w:pPr>
            <w:r>
              <w:rPr>
                <w:rFonts w:ascii="Palatino Linotype" w:hAnsi="Palatino Linotype"/>
                <w:sz w:val="20"/>
              </w:rPr>
              <w:t>FAO</w:t>
            </w:r>
          </w:p>
        </w:tc>
        <w:tc>
          <w:tcPr>
            <w:tcW w:w="4010" w:type="dxa"/>
          </w:tcPr>
          <w:p w14:paraId="1145EB92" w14:textId="3A357F2D" w:rsidR="00594D12" w:rsidRPr="00D301DD" w:rsidRDefault="00594D12" w:rsidP="00594D12">
            <w:pPr>
              <w:rPr>
                <w:rFonts w:ascii="Palatino Linotype" w:hAnsi="Palatino Linotype"/>
                <w:sz w:val="20"/>
              </w:rPr>
            </w:pPr>
            <w:r w:rsidRPr="00720CB7">
              <w:rPr>
                <w:rFonts w:ascii="Palatino Linotype" w:hAnsi="Palatino Linotype"/>
                <w:sz w:val="20"/>
              </w:rPr>
              <w:t>Food Wastage Footprint. Full-cost accounting. Final Report.</w:t>
            </w:r>
          </w:p>
        </w:tc>
        <w:tc>
          <w:tcPr>
            <w:tcW w:w="2128" w:type="dxa"/>
          </w:tcPr>
          <w:p w14:paraId="426B0413" w14:textId="315CAA41" w:rsidR="00594D12" w:rsidRPr="00D301DD" w:rsidRDefault="00594D12" w:rsidP="00594D12">
            <w:pPr>
              <w:rPr>
                <w:rFonts w:ascii="Palatino Linotype" w:hAnsi="Palatino Linotype"/>
                <w:sz w:val="20"/>
              </w:rPr>
            </w:pPr>
            <w:r>
              <w:rPr>
                <w:rFonts w:ascii="Palatino Linotype" w:hAnsi="Palatino Linotype"/>
                <w:sz w:val="20"/>
              </w:rPr>
              <w:t>FAO</w:t>
            </w:r>
          </w:p>
        </w:tc>
      </w:tr>
      <w:tr w:rsidR="00594D12" w14:paraId="029DF246" w14:textId="77777777" w:rsidTr="00A05244">
        <w:tc>
          <w:tcPr>
            <w:tcW w:w="661" w:type="dxa"/>
          </w:tcPr>
          <w:p w14:paraId="67DB9D59" w14:textId="7F16CB5C" w:rsidR="00594D12" w:rsidRDefault="00594D12" w:rsidP="00594D12">
            <w:pPr>
              <w:rPr>
                <w:rFonts w:ascii="Palatino Linotype" w:hAnsi="Palatino Linotype"/>
                <w:sz w:val="20"/>
              </w:rPr>
            </w:pPr>
            <w:r>
              <w:rPr>
                <w:rFonts w:ascii="Palatino Linotype" w:hAnsi="Palatino Linotype"/>
                <w:sz w:val="20"/>
              </w:rPr>
              <w:t>2014</w:t>
            </w:r>
          </w:p>
        </w:tc>
        <w:tc>
          <w:tcPr>
            <w:tcW w:w="1673" w:type="dxa"/>
          </w:tcPr>
          <w:p w14:paraId="6F3059FD" w14:textId="288483D5" w:rsidR="00594D12" w:rsidRDefault="00594D12" w:rsidP="00594D12">
            <w:pPr>
              <w:rPr>
                <w:rFonts w:ascii="Palatino Linotype" w:hAnsi="Palatino Linotype"/>
                <w:sz w:val="20"/>
              </w:rPr>
            </w:pPr>
            <w:r w:rsidRPr="009A485B">
              <w:rPr>
                <w:rFonts w:ascii="Palatino Linotype" w:hAnsi="Palatino Linotype"/>
                <w:sz w:val="20"/>
              </w:rPr>
              <w:t>Liu, J</w:t>
            </w:r>
            <w:r>
              <w:rPr>
                <w:rFonts w:ascii="Palatino Linotype" w:hAnsi="Palatino Linotype"/>
                <w:sz w:val="20"/>
              </w:rPr>
              <w:t xml:space="preserve"> and</w:t>
            </w:r>
            <w:r w:rsidRPr="009A485B">
              <w:rPr>
                <w:rFonts w:ascii="Palatino Linotype" w:hAnsi="Palatino Linotype"/>
                <w:sz w:val="20"/>
              </w:rPr>
              <w:t xml:space="preserve"> </w:t>
            </w:r>
            <w:proofErr w:type="spellStart"/>
            <w:r w:rsidRPr="009A485B">
              <w:rPr>
                <w:rFonts w:ascii="Palatino Linotype" w:hAnsi="Palatino Linotype"/>
                <w:sz w:val="20"/>
              </w:rPr>
              <w:t>Opdam</w:t>
            </w:r>
            <w:proofErr w:type="spellEnd"/>
            <w:r w:rsidRPr="009A485B">
              <w:rPr>
                <w:rFonts w:ascii="Palatino Linotype" w:hAnsi="Palatino Linotype"/>
                <w:sz w:val="20"/>
              </w:rPr>
              <w:t>, P.</w:t>
            </w:r>
          </w:p>
        </w:tc>
        <w:tc>
          <w:tcPr>
            <w:tcW w:w="4010" w:type="dxa"/>
          </w:tcPr>
          <w:p w14:paraId="2CF92603" w14:textId="7EC23C25" w:rsidR="00594D12" w:rsidRPr="00D301DD" w:rsidRDefault="00594D12" w:rsidP="00594D12">
            <w:pPr>
              <w:rPr>
                <w:rFonts w:ascii="Palatino Linotype" w:hAnsi="Palatino Linotype"/>
                <w:sz w:val="20"/>
              </w:rPr>
            </w:pPr>
            <w:r w:rsidRPr="00E27E68">
              <w:rPr>
                <w:rFonts w:ascii="Palatino Linotype" w:hAnsi="Palatino Linotype"/>
                <w:sz w:val="20"/>
              </w:rPr>
              <w:t>Valuing ecosystem services in community-based landscape planning: introducing a wellbeing-based approach</w:t>
            </w:r>
          </w:p>
        </w:tc>
        <w:tc>
          <w:tcPr>
            <w:tcW w:w="2128" w:type="dxa"/>
          </w:tcPr>
          <w:p w14:paraId="6D341887" w14:textId="7C8A595D" w:rsidR="00594D12" w:rsidRPr="00D301DD" w:rsidRDefault="00594D12" w:rsidP="00594D12">
            <w:pPr>
              <w:rPr>
                <w:rFonts w:ascii="Palatino Linotype" w:hAnsi="Palatino Linotype"/>
                <w:sz w:val="20"/>
              </w:rPr>
            </w:pPr>
            <w:r>
              <w:rPr>
                <w:rFonts w:ascii="Palatino Linotype" w:hAnsi="Palatino Linotype"/>
                <w:sz w:val="20"/>
              </w:rPr>
              <w:t>Landscape Ecology</w:t>
            </w:r>
          </w:p>
        </w:tc>
      </w:tr>
      <w:tr w:rsidR="00594D12" w14:paraId="325C2E25" w14:textId="77777777" w:rsidTr="00A05244">
        <w:tc>
          <w:tcPr>
            <w:tcW w:w="661" w:type="dxa"/>
          </w:tcPr>
          <w:p w14:paraId="00642B65" w14:textId="3FE9A437" w:rsidR="00594D12" w:rsidRDefault="00594D12" w:rsidP="00594D12">
            <w:pPr>
              <w:rPr>
                <w:rFonts w:ascii="Palatino Linotype" w:hAnsi="Palatino Linotype"/>
                <w:sz w:val="20"/>
              </w:rPr>
            </w:pPr>
            <w:r>
              <w:rPr>
                <w:rFonts w:ascii="Palatino Linotype" w:hAnsi="Palatino Linotype"/>
                <w:sz w:val="20"/>
              </w:rPr>
              <w:t>2012</w:t>
            </w:r>
          </w:p>
        </w:tc>
        <w:tc>
          <w:tcPr>
            <w:tcW w:w="1673" w:type="dxa"/>
          </w:tcPr>
          <w:p w14:paraId="1DE16B82" w14:textId="014DB7F6" w:rsidR="00594D12" w:rsidRDefault="00594D12" w:rsidP="00594D12">
            <w:pPr>
              <w:rPr>
                <w:rFonts w:ascii="Palatino Linotype" w:hAnsi="Palatino Linotype"/>
                <w:sz w:val="20"/>
              </w:rPr>
            </w:pPr>
            <w:proofErr w:type="spellStart"/>
            <w:r w:rsidRPr="006A3A0D">
              <w:rPr>
                <w:rFonts w:ascii="Palatino Linotype" w:hAnsi="Palatino Linotype"/>
                <w:sz w:val="20"/>
              </w:rPr>
              <w:t>Iacovidou</w:t>
            </w:r>
            <w:proofErr w:type="spellEnd"/>
            <w:r w:rsidRPr="006A3A0D">
              <w:rPr>
                <w:rFonts w:ascii="Palatino Linotype" w:hAnsi="Palatino Linotype"/>
                <w:sz w:val="20"/>
              </w:rPr>
              <w:t>, E</w:t>
            </w:r>
            <w:r>
              <w:rPr>
                <w:rFonts w:ascii="Palatino Linotype" w:hAnsi="Palatino Linotype"/>
                <w:sz w:val="20"/>
              </w:rPr>
              <w:t xml:space="preserve"> and</w:t>
            </w:r>
            <w:r w:rsidRPr="006A3A0D">
              <w:rPr>
                <w:rFonts w:ascii="Palatino Linotype" w:hAnsi="Palatino Linotype"/>
                <w:sz w:val="20"/>
              </w:rPr>
              <w:t xml:space="preserve"> </w:t>
            </w:r>
            <w:proofErr w:type="spellStart"/>
            <w:r w:rsidRPr="006A3A0D">
              <w:rPr>
                <w:rFonts w:ascii="Palatino Linotype" w:hAnsi="Palatino Linotype"/>
                <w:sz w:val="20"/>
              </w:rPr>
              <w:t>Ohandja</w:t>
            </w:r>
            <w:proofErr w:type="spellEnd"/>
            <w:r w:rsidRPr="006A3A0D">
              <w:rPr>
                <w:rFonts w:ascii="Palatino Linotype" w:hAnsi="Palatino Linotype"/>
                <w:sz w:val="20"/>
              </w:rPr>
              <w:t>, D.</w:t>
            </w:r>
          </w:p>
        </w:tc>
        <w:tc>
          <w:tcPr>
            <w:tcW w:w="4010" w:type="dxa"/>
          </w:tcPr>
          <w:p w14:paraId="6BE60BF9" w14:textId="1D971403" w:rsidR="00594D12" w:rsidRPr="00D301DD" w:rsidRDefault="00594D12" w:rsidP="00594D12">
            <w:pPr>
              <w:rPr>
                <w:rFonts w:ascii="Palatino Linotype" w:hAnsi="Palatino Linotype"/>
                <w:sz w:val="20"/>
              </w:rPr>
            </w:pPr>
            <w:r w:rsidRPr="003F19A1">
              <w:rPr>
                <w:rFonts w:ascii="Palatino Linotype" w:hAnsi="Palatino Linotype"/>
                <w:sz w:val="20"/>
              </w:rPr>
              <w:t>Food waste co-digestion with sewage sludge–realising its potential in the UK.</w:t>
            </w:r>
          </w:p>
        </w:tc>
        <w:tc>
          <w:tcPr>
            <w:tcW w:w="2128" w:type="dxa"/>
          </w:tcPr>
          <w:p w14:paraId="73663069" w14:textId="47E7810C" w:rsidR="00594D12" w:rsidRPr="00D301DD" w:rsidRDefault="00594D12" w:rsidP="00594D12">
            <w:pPr>
              <w:rPr>
                <w:rFonts w:ascii="Palatino Linotype" w:hAnsi="Palatino Linotype"/>
                <w:sz w:val="20"/>
              </w:rPr>
            </w:pPr>
            <w:r>
              <w:rPr>
                <w:rFonts w:ascii="Palatino Linotype" w:hAnsi="Palatino Linotype"/>
                <w:sz w:val="20"/>
              </w:rPr>
              <w:t>J</w:t>
            </w:r>
            <w:r w:rsidRPr="003F19A1">
              <w:rPr>
                <w:rFonts w:ascii="Palatino Linotype" w:hAnsi="Palatino Linotype"/>
                <w:sz w:val="20"/>
              </w:rPr>
              <w:t>ournal of environmental management</w:t>
            </w:r>
          </w:p>
        </w:tc>
      </w:tr>
      <w:tr w:rsidR="00594D12" w14:paraId="3AF77C86" w14:textId="77777777" w:rsidTr="00A05244">
        <w:tc>
          <w:tcPr>
            <w:tcW w:w="661" w:type="dxa"/>
          </w:tcPr>
          <w:p w14:paraId="156320FA" w14:textId="6C46E7F8" w:rsidR="00594D12" w:rsidRDefault="00594D12" w:rsidP="00594D12">
            <w:pPr>
              <w:rPr>
                <w:rFonts w:ascii="Palatino Linotype" w:hAnsi="Palatino Linotype"/>
                <w:sz w:val="20"/>
              </w:rPr>
            </w:pPr>
            <w:r>
              <w:rPr>
                <w:rFonts w:ascii="Palatino Linotype" w:hAnsi="Palatino Linotype"/>
                <w:sz w:val="20"/>
              </w:rPr>
              <w:lastRenderedPageBreak/>
              <w:t>2011</w:t>
            </w:r>
          </w:p>
        </w:tc>
        <w:tc>
          <w:tcPr>
            <w:tcW w:w="1673" w:type="dxa"/>
          </w:tcPr>
          <w:p w14:paraId="16F4E101" w14:textId="773E069B" w:rsidR="00594D12" w:rsidRDefault="00594D12" w:rsidP="00594D12">
            <w:pPr>
              <w:rPr>
                <w:rFonts w:ascii="Palatino Linotype" w:hAnsi="Palatino Linotype"/>
                <w:sz w:val="20"/>
              </w:rPr>
            </w:pPr>
            <w:proofErr w:type="spellStart"/>
            <w:r w:rsidRPr="009A485B">
              <w:rPr>
                <w:rFonts w:ascii="Palatino Linotype" w:hAnsi="Palatino Linotype"/>
                <w:sz w:val="20"/>
              </w:rPr>
              <w:t>Swarr</w:t>
            </w:r>
            <w:proofErr w:type="spellEnd"/>
            <w:r>
              <w:rPr>
                <w:rFonts w:ascii="Palatino Linotype" w:hAnsi="Palatino Linotype"/>
                <w:sz w:val="20"/>
              </w:rPr>
              <w:t xml:space="preserve"> et al.</w:t>
            </w:r>
          </w:p>
        </w:tc>
        <w:tc>
          <w:tcPr>
            <w:tcW w:w="4010" w:type="dxa"/>
          </w:tcPr>
          <w:p w14:paraId="4B689018" w14:textId="21906FB5" w:rsidR="00594D12" w:rsidRPr="00D301DD" w:rsidRDefault="00594D12" w:rsidP="00594D12">
            <w:pPr>
              <w:rPr>
                <w:rFonts w:ascii="Palatino Linotype" w:hAnsi="Palatino Linotype"/>
                <w:sz w:val="20"/>
              </w:rPr>
            </w:pPr>
            <w:r w:rsidRPr="007304CA">
              <w:rPr>
                <w:rFonts w:ascii="Palatino Linotype" w:hAnsi="Palatino Linotype"/>
                <w:sz w:val="20"/>
              </w:rPr>
              <w:t>Environmental life-cycle costing: a code of practice.</w:t>
            </w:r>
          </w:p>
        </w:tc>
        <w:tc>
          <w:tcPr>
            <w:tcW w:w="2128" w:type="dxa"/>
          </w:tcPr>
          <w:p w14:paraId="056CD36C" w14:textId="3D1A2EEC" w:rsidR="00594D12" w:rsidRPr="00D301DD" w:rsidRDefault="00594D12" w:rsidP="00594D12">
            <w:pPr>
              <w:rPr>
                <w:rFonts w:ascii="Palatino Linotype" w:hAnsi="Palatino Linotype"/>
                <w:sz w:val="20"/>
              </w:rPr>
            </w:pPr>
            <w:r w:rsidRPr="007304CA">
              <w:rPr>
                <w:rFonts w:ascii="Palatino Linotype" w:hAnsi="Palatino Linotype"/>
                <w:sz w:val="20"/>
              </w:rPr>
              <w:t>The International Journal of Life Cycle Assessment</w:t>
            </w:r>
          </w:p>
        </w:tc>
      </w:tr>
      <w:tr w:rsidR="00594D12" w14:paraId="470E1AF7" w14:textId="77777777" w:rsidTr="00A05244">
        <w:tc>
          <w:tcPr>
            <w:tcW w:w="661" w:type="dxa"/>
          </w:tcPr>
          <w:p w14:paraId="4370F38D" w14:textId="717EE357" w:rsidR="00594D12" w:rsidRDefault="00594D12" w:rsidP="00594D12">
            <w:pPr>
              <w:rPr>
                <w:rFonts w:ascii="Palatino Linotype" w:hAnsi="Palatino Linotype"/>
                <w:sz w:val="20"/>
              </w:rPr>
            </w:pPr>
            <w:r>
              <w:rPr>
                <w:rFonts w:ascii="Palatino Linotype" w:hAnsi="Palatino Linotype"/>
                <w:sz w:val="20"/>
              </w:rPr>
              <w:t>2011</w:t>
            </w:r>
          </w:p>
        </w:tc>
        <w:tc>
          <w:tcPr>
            <w:tcW w:w="1673" w:type="dxa"/>
          </w:tcPr>
          <w:p w14:paraId="5F3C3E04" w14:textId="7EDED784" w:rsidR="00594D12" w:rsidRDefault="00594D12" w:rsidP="00594D12">
            <w:pPr>
              <w:rPr>
                <w:rFonts w:ascii="Palatino Linotype" w:hAnsi="Palatino Linotype"/>
                <w:sz w:val="20"/>
              </w:rPr>
            </w:pPr>
            <w:r w:rsidRPr="00772171">
              <w:rPr>
                <w:rFonts w:ascii="Palatino Linotype" w:hAnsi="Palatino Linotype"/>
                <w:sz w:val="20"/>
              </w:rPr>
              <w:t xml:space="preserve">Kim </w:t>
            </w:r>
            <w:r>
              <w:rPr>
                <w:rFonts w:ascii="Palatino Linotype" w:hAnsi="Palatino Linotype"/>
                <w:sz w:val="20"/>
              </w:rPr>
              <w:t>et al.</w:t>
            </w:r>
          </w:p>
        </w:tc>
        <w:tc>
          <w:tcPr>
            <w:tcW w:w="4010" w:type="dxa"/>
          </w:tcPr>
          <w:p w14:paraId="2523F878" w14:textId="5B58CA63" w:rsidR="00594D12" w:rsidRPr="00D301DD" w:rsidRDefault="00594D12" w:rsidP="00594D12">
            <w:pPr>
              <w:rPr>
                <w:rFonts w:ascii="Palatino Linotype" w:hAnsi="Palatino Linotype"/>
                <w:sz w:val="20"/>
              </w:rPr>
            </w:pPr>
            <w:r w:rsidRPr="005D5384">
              <w:rPr>
                <w:rFonts w:ascii="Palatino Linotype" w:hAnsi="Palatino Linotype"/>
                <w:sz w:val="20"/>
              </w:rPr>
              <w:t xml:space="preserve">Evaluation of food waste disposal options by LCC analysis from the perspective of global warming: </w:t>
            </w:r>
            <w:proofErr w:type="spellStart"/>
            <w:r w:rsidRPr="005D5384">
              <w:rPr>
                <w:rFonts w:ascii="Palatino Linotype" w:hAnsi="Palatino Linotype"/>
                <w:sz w:val="20"/>
              </w:rPr>
              <w:t>Jungnang</w:t>
            </w:r>
            <w:proofErr w:type="spellEnd"/>
            <w:r w:rsidRPr="005D5384">
              <w:rPr>
                <w:rFonts w:ascii="Palatino Linotype" w:hAnsi="Palatino Linotype"/>
                <w:sz w:val="20"/>
              </w:rPr>
              <w:t xml:space="preserve"> case, South Korea.</w:t>
            </w:r>
          </w:p>
        </w:tc>
        <w:tc>
          <w:tcPr>
            <w:tcW w:w="2128" w:type="dxa"/>
          </w:tcPr>
          <w:p w14:paraId="6FFFE557" w14:textId="50F5B0FA" w:rsidR="00594D12" w:rsidRPr="00D301DD" w:rsidRDefault="00594D12" w:rsidP="00594D12">
            <w:pPr>
              <w:rPr>
                <w:rFonts w:ascii="Palatino Linotype" w:hAnsi="Palatino Linotype"/>
                <w:sz w:val="20"/>
              </w:rPr>
            </w:pPr>
            <w:r>
              <w:rPr>
                <w:rFonts w:ascii="Palatino Linotype" w:hAnsi="Palatino Linotype"/>
                <w:sz w:val="20"/>
              </w:rPr>
              <w:t>Waste Management</w:t>
            </w:r>
          </w:p>
        </w:tc>
      </w:tr>
      <w:tr w:rsidR="00594D12" w14:paraId="7F597E6F" w14:textId="77777777" w:rsidTr="00A05244">
        <w:tc>
          <w:tcPr>
            <w:tcW w:w="661" w:type="dxa"/>
          </w:tcPr>
          <w:p w14:paraId="032D3FFD" w14:textId="5E4FAA99" w:rsidR="00594D12" w:rsidRDefault="00594D12" w:rsidP="00594D12">
            <w:pPr>
              <w:rPr>
                <w:rFonts w:ascii="Palatino Linotype" w:hAnsi="Palatino Linotype"/>
                <w:sz w:val="20"/>
              </w:rPr>
            </w:pPr>
            <w:r>
              <w:rPr>
                <w:rFonts w:ascii="Palatino Linotype" w:hAnsi="Palatino Linotype"/>
                <w:sz w:val="20"/>
              </w:rPr>
              <w:t>2011</w:t>
            </w:r>
          </w:p>
        </w:tc>
        <w:tc>
          <w:tcPr>
            <w:tcW w:w="1673" w:type="dxa"/>
          </w:tcPr>
          <w:p w14:paraId="79FC809C" w14:textId="31509AE1" w:rsidR="00594D12" w:rsidRPr="00261376" w:rsidRDefault="00594D12" w:rsidP="00594D12">
            <w:pPr>
              <w:rPr>
                <w:rFonts w:ascii="Palatino Linotype" w:hAnsi="Palatino Linotype"/>
                <w:sz w:val="20"/>
              </w:rPr>
            </w:pPr>
            <w:proofErr w:type="spellStart"/>
            <w:r w:rsidRPr="00261376">
              <w:rPr>
                <w:rFonts w:ascii="Palatino Linotype" w:hAnsi="Palatino Linotype"/>
                <w:sz w:val="20"/>
              </w:rPr>
              <w:t>Bernstad</w:t>
            </w:r>
            <w:proofErr w:type="spellEnd"/>
            <w:r w:rsidRPr="00261376">
              <w:rPr>
                <w:rFonts w:ascii="Palatino Linotype" w:hAnsi="Palatino Linotype"/>
                <w:sz w:val="20"/>
              </w:rPr>
              <w:t xml:space="preserve">, A., La </w:t>
            </w:r>
            <w:proofErr w:type="spellStart"/>
            <w:r w:rsidRPr="00261376">
              <w:rPr>
                <w:rFonts w:ascii="Palatino Linotype" w:hAnsi="Palatino Linotype"/>
                <w:sz w:val="20"/>
              </w:rPr>
              <w:t>Cour</w:t>
            </w:r>
            <w:proofErr w:type="spellEnd"/>
            <w:r w:rsidRPr="00261376">
              <w:rPr>
                <w:rFonts w:ascii="Palatino Linotype" w:hAnsi="Palatino Linotype"/>
                <w:sz w:val="20"/>
              </w:rPr>
              <w:t xml:space="preserve"> Jansen, J</w:t>
            </w:r>
          </w:p>
        </w:tc>
        <w:tc>
          <w:tcPr>
            <w:tcW w:w="4010" w:type="dxa"/>
          </w:tcPr>
          <w:p w14:paraId="66DEC740" w14:textId="7C5287C5" w:rsidR="00594D12" w:rsidRPr="00D301DD" w:rsidRDefault="00594D12" w:rsidP="00594D12">
            <w:pPr>
              <w:rPr>
                <w:rFonts w:ascii="Palatino Linotype" w:hAnsi="Palatino Linotype"/>
                <w:sz w:val="20"/>
              </w:rPr>
            </w:pPr>
            <w:r w:rsidRPr="006A3A0D">
              <w:rPr>
                <w:rFonts w:ascii="Palatino Linotype" w:hAnsi="Palatino Linotype"/>
                <w:sz w:val="20"/>
              </w:rPr>
              <w:t>A life cycle approach to the</w:t>
            </w:r>
            <w:r>
              <w:rPr>
                <w:rFonts w:ascii="Palatino Linotype" w:hAnsi="Palatino Linotype"/>
                <w:sz w:val="20"/>
              </w:rPr>
              <w:t xml:space="preserve"> </w:t>
            </w:r>
            <w:r w:rsidRPr="006A3A0D">
              <w:rPr>
                <w:rFonts w:ascii="Palatino Linotype" w:hAnsi="Palatino Linotype"/>
                <w:sz w:val="20"/>
              </w:rPr>
              <w:t>management of household food waste—a Swedish full-scale case study.</w:t>
            </w:r>
          </w:p>
        </w:tc>
        <w:tc>
          <w:tcPr>
            <w:tcW w:w="2128" w:type="dxa"/>
          </w:tcPr>
          <w:p w14:paraId="0B8EC648" w14:textId="052F8F33" w:rsidR="00594D12" w:rsidRPr="00D301DD" w:rsidRDefault="00594D12" w:rsidP="00594D12">
            <w:pPr>
              <w:rPr>
                <w:rFonts w:ascii="Palatino Linotype" w:hAnsi="Palatino Linotype"/>
                <w:sz w:val="20"/>
              </w:rPr>
            </w:pPr>
            <w:r>
              <w:rPr>
                <w:rFonts w:ascii="Palatino Linotype" w:hAnsi="Palatino Linotype"/>
                <w:sz w:val="20"/>
              </w:rPr>
              <w:t>Waste Management</w:t>
            </w:r>
          </w:p>
        </w:tc>
      </w:tr>
      <w:tr w:rsidR="00594D12" w14:paraId="768E6FFC" w14:textId="77777777" w:rsidTr="00A05244">
        <w:tc>
          <w:tcPr>
            <w:tcW w:w="661" w:type="dxa"/>
          </w:tcPr>
          <w:p w14:paraId="28A4295D" w14:textId="505F5D41" w:rsidR="00594D12" w:rsidRDefault="00594D12" w:rsidP="00594D12">
            <w:pPr>
              <w:rPr>
                <w:rFonts w:ascii="Palatino Linotype" w:hAnsi="Palatino Linotype"/>
                <w:sz w:val="20"/>
              </w:rPr>
            </w:pPr>
            <w:r>
              <w:rPr>
                <w:rFonts w:ascii="Palatino Linotype" w:hAnsi="Palatino Linotype"/>
                <w:sz w:val="20"/>
              </w:rPr>
              <w:t>2010</w:t>
            </w:r>
          </w:p>
        </w:tc>
        <w:tc>
          <w:tcPr>
            <w:tcW w:w="1673" w:type="dxa"/>
          </w:tcPr>
          <w:p w14:paraId="3CD39539" w14:textId="75896FCF" w:rsidR="00594D12" w:rsidRDefault="00594D12" w:rsidP="00594D12">
            <w:pPr>
              <w:rPr>
                <w:rFonts w:ascii="Palatino Linotype" w:hAnsi="Palatino Linotype"/>
                <w:sz w:val="20"/>
              </w:rPr>
            </w:pPr>
            <w:proofErr w:type="spellStart"/>
            <w:r w:rsidRPr="009A485B">
              <w:rPr>
                <w:rFonts w:ascii="Palatino Linotype" w:hAnsi="Palatino Linotype"/>
                <w:sz w:val="20"/>
              </w:rPr>
              <w:t>Jamasb</w:t>
            </w:r>
            <w:proofErr w:type="spellEnd"/>
            <w:r w:rsidRPr="009A485B">
              <w:rPr>
                <w:rFonts w:ascii="Palatino Linotype" w:hAnsi="Palatino Linotype"/>
                <w:sz w:val="20"/>
              </w:rPr>
              <w:t>, T. and Nepal, R.</w:t>
            </w:r>
          </w:p>
        </w:tc>
        <w:tc>
          <w:tcPr>
            <w:tcW w:w="4010" w:type="dxa"/>
          </w:tcPr>
          <w:p w14:paraId="1C108DA4" w14:textId="3493594D" w:rsidR="00594D12" w:rsidRPr="005D5384" w:rsidRDefault="00594D12" w:rsidP="00594D12">
            <w:pPr>
              <w:rPr>
                <w:rFonts w:ascii="Palatino Linotype" w:hAnsi="Palatino Linotype"/>
                <w:sz w:val="20"/>
              </w:rPr>
            </w:pPr>
            <w:r w:rsidRPr="00E27E68">
              <w:rPr>
                <w:rFonts w:ascii="Palatino Linotype" w:hAnsi="Palatino Linotype"/>
                <w:sz w:val="20"/>
              </w:rPr>
              <w:t>Issues and options in waste management: a social cost–benefit analysis of waste-to-energy in the UK.</w:t>
            </w:r>
          </w:p>
        </w:tc>
        <w:tc>
          <w:tcPr>
            <w:tcW w:w="2128" w:type="dxa"/>
          </w:tcPr>
          <w:p w14:paraId="42168F90" w14:textId="13D5B79E" w:rsidR="00594D12" w:rsidRPr="005D5384" w:rsidRDefault="00594D12" w:rsidP="00594D12">
            <w:pPr>
              <w:rPr>
                <w:rFonts w:ascii="Palatino Linotype" w:hAnsi="Palatino Linotype"/>
                <w:sz w:val="20"/>
              </w:rPr>
            </w:pPr>
            <w:r>
              <w:rPr>
                <w:rFonts w:ascii="Palatino Linotype" w:hAnsi="Palatino Linotype"/>
                <w:sz w:val="20"/>
              </w:rPr>
              <w:t>Resources, Conservation and Recycling</w:t>
            </w:r>
          </w:p>
        </w:tc>
      </w:tr>
      <w:tr w:rsidR="00594D12" w14:paraId="1D1E4996" w14:textId="77777777" w:rsidTr="00A05244">
        <w:tc>
          <w:tcPr>
            <w:tcW w:w="661" w:type="dxa"/>
          </w:tcPr>
          <w:p w14:paraId="516B0D3C" w14:textId="08F1D74F" w:rsidR="00594D12" w:rsidRDefault="00594D12" w:rsidP="00594D12">
            <w:pPr>
              <w:rPr>
                <w:rFonts w:ascii="Palatino Linotype" w:hAnsi="Palatino Linotype"/>
                <w:sz w:val="20"/>
              </w:rPr>
            </w:pPr>
            <w:r>
              <w:rPr>
                <w:rFonts w:ascii="Palatino Linotype" w:hAnsi="Palatino Linotype"/>
                <w:sz w:val="20"/>
              </w:rPr>
              <w:t>2010</w:t>
            </w:r>
          </w:p>
        </w:tc>
        <w:tc>
          <w:tcPr>
            <w:tcW w:w="1673" w:type="dxa"/>
          </w:tcPr>
          <w:p w14:paraId="12E785D9" w14:textId="40DD99F0" w:rsidR="00594D12" w:rsidRDefault="00594D12" w:rsidP="00594D12">
            <w:pPr>
              <w:rPr>
                <w:rFonts w:ascii="Palatino Linotype" w:hAnsi="Palatino Linotype"/>
                <w:sz w:val="20"/>
              </w:rPr>
            </w:pPr>
            <w:r w:rsidRPr="009A485B">
              <w:rPr>
                <w:rFonts w:ascii="Palatino Linotype" w:hAnsi="Palatino Linotype"/>
                <w:sz w:val="20"/>
              </w:rPr>
              <w:t xml:space="preserve">Liu </w:t>
            </w:r>
            <w:r>
              <w:rPr>
                <w:rFonts w:ascii="Palatino Linotype" w:hAnsi="Palatino Linotype"/>
                <w:sz w:val="20"/>
              </w:rPr>
              <w:t>et al.</w:t>
            </w:r>
          </w:p>
        </w:tc>
        <w:tc>
          <w:tcPr>
            <w:tcW w:w="4010" w:type="dxa"/>
          </w:tcPr>
          <w:p w14:paraId="5706A182" w14:textId="1067546C" w:rsidR="00594D12" w:rsidRPr="005D5384" w:rsidRDefault="00594D12" w:rsidP="00594D12">
            <w:pPr>
              <w:rPr>
                <w:rFonts w:ascii="Palatino Linotype" w:hAnsi="Palatino Linotype"/>
                <w:sz w:val="20"/>
              </w:rPr>
            </w:pPr>
            <w:r w:rsidRPr="00E27E68">
              <w:rPr>
                <w:rFonts w:ascii="Palatino Linotype" w:hAnsi="Palatino Linotype"/>
                <w:sz w:val="20"/>
              </w:rPr>
              <w:t>Valuing ecosystem services</w:t>
            </w:r>
          </w:p>
        </w:tc>
        <w:tc>
          <w:tcPr>
            <w:tcW w:w="2128" w:type="dxa"/>
          </w:tcPr>
          <w:p w14:paraId="346EE39A" w14:textId="671E6A9B" w:rsidR="00594D12" w:rsidRPr="005D5384" w:rsidRDefault="00594D12" w:rsidP="00594D12">
            <w:pPr>
              <w:rPr>
                <w:rFonts w:ascii="Palatino Linotype" w:hAnsi="Palatino Linotype"/>
                <w:sz w:val="20"/>
              </w:rPr>
            </w:pPr>
            <w:r w:rsidRPr="00E27E68">
              <w:rPr>
                <w:rFonts w:ascii="Palatino Linotype" w:hAnsi="Palatino Linotype"/>
                <w:sz w:val="20"/>
              </w:rPr>
              <w:t>Annals of the New York Academy of Sciences</w:t>
            </w:r>
          </w:p>
        </w:tc>
      </w:tr>
      <w:tr w:rsidR="00594D12" w14:paraId="29FAC4FE" w14:textId="77777777" w:rsidTr="00A05244">
        <w:tc>
          <w:tcPr>
            <w:tcW w:w="661" w:type="dxa"/>
          </w:tcPr>
          <w:p w14:paraId="6B351486" w14:textId="5FD81E18" w:rsidR="00594D12" w:rsidRDefault="00594D12" w:rsidP="00594D12">
            <w:pPr>
              <w:rPr>
                <w:rFonts w:ascii="Palatino Linotype" w:hAnsi="Palatino Linotype"/>
                <w:sz w:val="20"/>
              </w:rPr>
            </w:pPr>
            <w:r>
              <w:rPr>
                <w:rFonts w:ascii="Palatino Linotype" w:hAnsi="Palatino Linotype"/>
                <w:sz w:val="20"/>
              </w:rPr>
              <w:t>2007</w:t>
            </w:r>
          </w:p>
        </w:tc>
        <w:tc>
          <w:tcPr>
            <w:tcW w:w="1673" w:type="dxa"/>
          </w:tcPr>
          <w:p w14:paraId="6E614613" w14:textId="0D88C0D9" w:rsidR="00594D12" w:rsidRPr="006A3A0D" w:rsidRDefault="003509B1" w:rsidP="00594D12">
            <w:pPr>
              <w:rPr>
                <w:rFonts w:ascii="Palatino Linotype" w:hAnsi="Palatino Linotype"/>
                <w:sz w:val="20"/>
              </w:rPr>
            </w:pPr>
            <w:r w:rsidRPr="003509B1">
              <w:rPr>
                <w:rFonts w:ascii="Palatino Linotype" w:hAnsi="Palatino Linotype"/>
                <w:sz w:val="20"/>
              </w:rPr>
              <w:t>Den Boer J</w:t>
            </w:r>
            <w:r>
              <w:rPr>
                <w:rFonts w:ascii="Palatino Linotype" w:hAnsi="Palatino Linotype"/>
                <w:sz w:val="20"/>
              </w:rPr>
              <w:t xml:space="preserve"> et al.</w:t>
            </w:r>
          </w:p>
        </w:tc>
        <w:tc>
          <w:tcPr>
            <w:tcW w:w="4010" w:type="dxa"/>
          </w:tcPr>
          <w:p w14:paraId="24CA283C" w14:textId="133BE7D9" w:rsidR="00594D12" w:rsidRPr="006A3A0D" w:rsidRDefault="00594D12" w:rsidP="00594D12">
            <w:pPr>
              <w:rPr>
                <w:rFonts w:ascii="Palatino Linotype" w:hAnsi="Palatino Linotype"/>
                <w:sz w:val="20"/>
              </w:rPr>
            </w:pPr>
            <w:r w:rsidRPr="006A3A0D">
              <w:rPr>
                <w:rFonts w:ascii="Palatino Linotype" w:hAnsi="Palatino Linotype"/>
                <w:sz w:val="20"/>
              </w:rPr>
              <w:t>LCA-IWM: a decision support tool for sustainability assessment of waste management systems</w:t>
            </w:r>
          </w:p>
        </w:tc>
        <w:tc>
          <w:tcPr>
            <w:tcW w:w="2128" w:type="dxa"/>
          </w:tcPr>
          <w:p w14:paraId="7A765DD6" w14:textId="7C3A1ECF" w:rsidR="00594D12" w:rsidRDefault="00594D12" w:rsidP="00594D12">
            <w:pPr>
              <w:rPr>
                <w:rFonts w:ascii="Palatino Linotype" w:hAnsi="Palatino Linotype"/>
                <w:sz w:val="20"/>
              </w:rPr>
            </w:pPr>
            <w:r>
              <w:rPr>
                <w:rFonts w:ascii="Palatino Linotype" w:hAnsi="Palatino Linotype"/>
                <w:sz w:val="20"/>
              </w:rPr>
              <w:t>Waste Management</w:t>
            </w:r>
          </w:p>
        </w:tc>
      </w:tr>
      <w:tr w:rsidR="00FB0EB1" w14:paraId="1EB2CDAC" w14:textId="77777777" w:rsidTr="00A05244">
        <w:tc>
          <w:tcPr>
            <w:tcW w:w="661" w:type="dxa"/>
          </w:tcPr>
          <w:p w14:paraId="315BABEF" w14:textId="7ABACEF5" w:rsidR="00FB0EB1" w:rsidRDefault="00FB0EB1" w:rsidP="00594D12">
            <w:pPr>
              <w:rPr>
                <w:rFonts w:ascii="Palatino Linotype" w:hAnsi="Palatino Linotype"/>
                <w:sz w:val="20"/>
              </w:rPr>
            </w:pPr>
            <w:r>
              <w:rPr>
                <w:rFonts w:ascii="Palatino Linotype" w:hAnsi="Palatino Linotype"/>
                <w:sz w:val="20"/>
              </w:rPr>
              <w:t>2007</w:t>
            </w:r>
          </w:p>
        </w:tc>
        <w:tc>
          <w:tcPr>
            <w:tcW w:w="1673" w:type="dxa"/>
          </w:tcPr>
          <w:p w14:paraId="24DFB2AA" w14:textId="4932574C" w:rsidR="00FB0EB1" w:rsidRDefault="003509B1" w:rsidP="00594D12">
            <w:pPr>
              <w:rPr>
                <w:rFonts w:ascii="Palatino Linotype" w:hAnsi="Palatino Linotype"/>
                <w:sz w:val="20"/>
              </w:rPr>
            </w:pPr>
            <w:proofErr w:type="spellStart"/>
            <w:r w:rsidRPr="003509B1">
              <w:rPr>
                <w:rFonts w:ascii="Palatino Linotype" w:hAnsi="Palatino Linotype"/>
                <w:sz w:val="20"/>
              </w:rPr>
              <w:t>Kapepula</w:t>
            </w:r>
            <w:proofErr w:type="spellEnd"/>
            <w:r w:rsidRPr="003509B1">
              <w:rPr>
                <w:rFonts w:ascii="Palatino Linotype" w:hAnsi="Palatino Linotype"/>
                <w:sz w:val="20"/>
              </w:rPr>
              <w:t xml:space="preserve"> KM</w:t>
            </w:r>
            <w:r>
              <w:rPr>
                <w:rFonts w:ascii="Palatino Linotype" w:hAnsi="Palatino Linotype"/>
                <w:sz w:val="20"/>
              </w:rPr>
              <w:t xml:space="preserve"> et al.</w:t>
            </w:r>
          </w:p>
        </w:tc>
        <w:tc>
          <w:tcPr>
            <w:tcW w:w="4010" w:type="dxa"/>
          </w:tcPr>
          <w:p w14:paraId="34D5D822" w14:textId="6E8E6FD7" w:rsidR="00FB0EB1" w:rsidRPr="006A3A0D" w:rsidRDefault="003509B1" w:rsidP="00594D12">
            <w:pPr>
              <w:rPr>
                <w:rFonts w:ascii="Palatino Linotype" w:hAnsi="Palatino Linotype"/>
                <w:sz w:val="20"/>
              </w:rPr>
            </w:pPr>
            <w:r w:rsidRPr="003509B1">
              <w:rPr>
                <w:rFonts w:ascii="Palatino Linotype" w:hAnsi="Palatino Linotype"/>
                <w:sz w:val="20"/>
              </w:rPr>
              <w:t xml:space="preserve">A multiple criteria analysis for household solid waste management in the urban community of Dakar. </w:t>
            </w:r>
          </w:p>
        </w:tc>
        <w:tc>
          <w:tcPr>
            <w:tcW w:w="2128" w:type="dxa"/>
          </w:tcPr>
          <w:p w14:paraId="0AD168EC" w14:textId="0A2CAA50" w:rsidR="00FB0EB1" w:rsidRDefault="003509B1" w:rsidP="00594D12">
            <w:pPr>
              <w:rPr>
                <w:rFonts w:ascii="Palatino Linotype" w:hAnsi="Palatino Linotype"/>
                <w:sz w:val="20"/>
              </w:rPr>
            </w:pPr>
            <w:r w:rsidRPr="003509B1">
              <w:rPr>
                <w:rFonts w:ascii="Palatino Linotype" w:hAnsi="Palatino Linotype"/>
                <w:sz w:val="20"/>
              </w:rPr>
              <w:t>Waste Management</w:t>
            </w:r>
          </w:p>
        </w:tc>
      </w:tr>
      <w:tr w:rsidR="00594D12" w14:paraId="66157A31" w14:textId="77777777" w:rsidTr="00A05244">
        <w:tc>
          <w:tcPr>
            <w:tcW w:w="661" w:type="dxa"/>
          </w:tcPr>
          <w:p w14:paraId="14640DA2" w14:textId="510E6620" w:rsidR="00594D12" w:rsidRDefault="00594D12" w:rsidP="00594D12">
            <w:pPr>
              <w:rPr>
                <w:rFonts w:ascii="Palatino Linotype" w:hAnsi="Palatino Linotype"/>
                <w:sz w:val="20"/>
              </w:rPr>
            </w:pPr>
            <w:r>
              <w:rPr>
                <w:rFonts w:ascii="Palatino Linotype" w:hAnsi="Palatino Linotype"/>
                <w:sz w:val="20"/>
              </w:rPr>
              <w:t>2005</w:t>
            </w:r>
          </w:p>
        </w:tc>
        <w:tc>
          <w:tcPr>
            <w:tcW w:w="1673" w:type="dxa"/>
          </w:tcPr>
          <w:p w14:paraId="5D6BACA8" w14:textId="3070C35A" w:rsidR="00594D12" w:rsidRPr="006A3A0D" w:rsidRDefault="00594D12" w:rsidP="00594D12">
            <w:pPr>
              <w:rPr>
                <w:rFonts w:ascii="Palatino Linotype" w:hAnsi="Palatino Linotype"/>
                <w:sz w:val="20"/>
              </w:rPr>
            </w:pPr>
            <w:r w:rsidRPr="00772171">
              <w:rPr>
                <w:rFonts w:ascii="Palatino Linotype" w:hAnsi="Palatino Linotype"/>
                <w:sz w:val="20"/>
              </w:rPr>
              <w:t>Reich, M.</w:t>
            </w:r>
          </w:p>
        </w:tc>
        <w:tc>
          <w:tcPr>
            <w:tcW w:w="4010" w:type="dxa"/>
          </w:tcPr>
          <w:p w14:paraId="06CB9AB4" w14:textId="7103127C" w:rsidR="00594D12" w:rsidRPr="006A3A0D" w:rsidRDefault="00594D12" w:rsidP="00594D12">
            <w:pPr>
              <w:rPr>
                <w:rFonts w:ascii="Palatino Linotype" w:hAnsi="Palatino Linotype"/>
                <w:sz w:val="20"/>
              </w:rPr>
            </w:pPr>
            <w:r w:rsidRPr="005D5384">
              <w:rPr>
                <w:rFonts w:ascii="Palatino Linotype" w:hAnsi="Palatino Linotype"/>
                <w:sz w:val="20"/>
              </w:rPr>
              <w:t>Economic assessment of municipal waste management systems—case studies using a combination of life cycle assessment (LCA) and life cycle costing (LCC.</w:t>
            </w:r>
          </w:p>
        </w:tc>
        <w:tc>
          <w:tcPr>
            <w:tcW w:w="2128" w:type="dxa"/>
          </w:tcPr>
          <w:p w14:paraId="4BFA8D8F" w14:textId="1DE90121" w:rsidR="00594D12" w:rsidRDefault="00594D12" w:rsidP="00594D12">
            <w:pPr>
              <w:rPr>
                <w:rFonts w:ascii="Palatino Linotype" w:hAnsi="Palatino Linotype"/>
                <w:sz w:val="20"/>
              </w:rPr>
            </w:pPr>
            <w:r w:rsidRPr="005D5384">
              <w:rPr>
                <w:rFonts w:ascii="Palatino Linotype" w:hAnsi="Palatino Linotype"/>
                <w:sz w:val="20"/>
              </w:rPr>
              <w:t>Journal of Cleaner Production</w:t>
            </w:r>
          </w:p>
        </w:tc>
      </w:tr>
      <w:tr w:rsidR="00594D12" w14:paraId="19FD8840" w14:textId="77777777" w:rsidTr="00A05244">
        <w:tc>
          <w:tcPr>
            <w:tcW w:w="661" w:type="dxa"/>
          </w:tcPr>
          <w:p w14:paraId="60FDA26F" w14:textId="629C77D3" w:rsidR="00594D12" w:rsidRDefault="00594D12" w:rsidP="00594D12">
            <w:pPr>
              <w:rPr>
                <w:rFonts w:ascii="Palatino Linotype" w:hAnsi="Palatino Linotype"/>
                <w:sz w:val="20"/>
              </w:rPr>
            </w:pPr>
            <w:r>
              <w:rPr>
                <w:rFonts w:ascii="Palatino Linotype" w:hAnsi="Palatino Linotype"/>
                <w:sz w:val="20"/>
              </w:rPr>
              <w:t>2005</w:t>
            </w:r>
          </w:p>
        </w:tc>
        <w:tc>
          <w:tcPr>
            <w:tcW w:w="1673" w:type="dxa"/>
          </w:tcPr>
          <w:p w14:paraId="7D4D6718" w14:textId="27ADCB65" w:rsidR="00594D12" w:rsidRPr="006A3A0D" w:rsidRDefault="00594D12" w:rsidP="00594D12">
            <w:pPr>
              <w:rPr>
                <w:rFonts w:ascii="Palatino Linotype" w:hAnsi="Palatino Linotype"/>
                <w:sz w:val="20"/>
              </w:rPr>
            </w:pPr>
            <w:proofErr w:type="spellStart"/>
            <w:r>
              <w:rPr>
                <w:rFonts w:ascii="Palatino Linotype" w:hAnsi="Palatino Linotype"/>
                <w:sz w:val="20"/>
              </w:rPr>
              <w:t>Lundie</w:t>
            </w:r>
            <w:proofErr w:type="spellEnd"/>
            <w:r>
              <w:rPr>
                <w:rFonts w:ascii="Palatino Linotype" w:hAnsi="Palatino Linotype"/>
                <w:sz w:val="20"/>
              </w:rPr>
              <w:t>, S.</w:t>
            </w:r>
          </w:p>
        </w:tc>
        <w:tc>
          <w:tcPr>
            <w:tcW w:w="4010" w:type="dxa"/>
          </w:tcPr>
          <w:p w14:paraId="1D78FDB4" w14:textId="5160B131" w:rsidR="00594D12" w:rsidRPr="006A3A0D" w:rsidRDefault="00594D12" w:rsidP="00594D12">
            <w:pPr>
              <w:rPr>
                <w:rFonts w:ascii="Palatino Linotype" w:hAnsi="Palatino Linotype"/>
                <w:sz w:val="20"/>
              </w:rPr>
            </w:pPr>
            <w:r w:rsidRPr="006A3A0D">
              <w:rPr>
                <w:rFonts w:ascii="Palatino Linotype" w:hAnsi="Palatino Linotype"/>
                <w:sz w:val="20"/>
              </w:rPr>
              <w:t>Life cycle assessment of food waste management options.</w:t>
            </w:r>
          </w:p>
        </w:tc>
        <w:tc>
          <w:tcPr>
            <w:tcW w:w="2128" w:type="dxa"/>
          </w:tcPr>
          <w:p w14:paraId="45A9B124" w14:textId="057A73EE" w:rsidR="00594D12" w:rsidRDefault="00594D12" w:rsidP="00594D12">
            <w:pPr>
              <w:rPr>
                <w:rFonts w:ascii="Palatino Linotype" w:hAnsi="Palatino Linotype"/>
                <w:sz w:val="20"/>
              </w:rPr>
            </w:pPr>
            <w:r w:rsidRPr="006A3A0D">
              <w:rPr>
                <w:rFonts w:ascii="Palatino Linotype" w:hAnsi="Palatino Linotype"/>
                <w:sz w:val="20"/>
              </w:rPr>
              <w:t>Journal of Cleaner Production</w:t>
            </w:r>
          </w:p>
        </w:tc>
      </w:tr>
      <w:tr w:rsidR="00594D12" w14:paraId="08FE4327" w14:textId="77777777" w:rsidTr="00A05244">
        <w:tc>
          <w:tcPr>
            <w:tcW w:w="661" w:type="dxa"/>
          </w:tcPr>
          <w:p w14:paraId="2E60AE62" w14:textId="7A908324" w:rsidR="00594D12" w:rsidRDefault="00594D12" w:rsidP="00594D12">
            <w:pPr>
              <w:rPr>
                <w:rFonts w:ascii="Palatino Linotype" w:hAnsi="Palatino Linotype"/>
                <w:sz w:val="20"/>
              </w:rPr>
            </w:pPr>
            <w:r>
              <w:rPr>
                <w:rFonts w:ascii="Palatino Linotype" w:hAnsi="Palatino Linotype"/>
                <w:sz w:val="20"/>
              </w:rPr>
              <w:t>2004</w:t>
            </w:r>
          </w:p>
        </w:tc>
        <w:tc>
          <w:tcPr>
            <w:tcW w:w="1673" w:type="dxa"/>
          </w:tcPr>
          <w:p w14:paraId="4E0EA2BE" w14:textId="1503F624" w:rsidR="00594D12" w:rsidRPr="006A3A0D" w:rsidRDefault="00594D12" w:rsidP="00594D12">
            <w:pPr>
              <w:rPr>
                <w:rFonts w:ascii="Palatino Linotype" w:hAnsi="Palatino Linotype"/>
                <w:sz w:val="20"/>
              </w:rPr>
            </w:pPr>
            <w:proofErr w:type="spellStart"/>
            <w:r w:rsidRPr="006A3A0D">
              <w:rPr>
                <w:rFonts w:ascii="Palatino Linotype" w:hAnsi="Palatino Linotype"/>
                <w:sz w:val="20"/>
              </w:rPr>
              <w:t>Kijak</w:t>
            </w:r>
            <w:proofErr w:type="spellEnd"/>
            <w:r w:rsidRPr="006A3A0D">
              <w:rPr>
                <w:rFonts w:ascii="Palatino Linotype" w:hAnsi="Palatino Linotype"/>
                <w:sz w:val="20"/>
              </w:rPr>
              <w:t>, R</w:t>
            </w:r>
            <w:r>
              <w:rPr>
                <w:rFonts w:ascii="Palatino Linotype" w:hAnsi="Palatino Linotype"/>
                <w:sz w:val="20"/>
              </w:rPr>
              <w:t xml:space="preserve"> and </w:t>
            </w:r>
            <w:r w:rsidRPr="006A3A0D">
              <w:rPr>
                <w:rFonts w:ascii="Palatino Linotype" w:hAnsi="Palatino Linotype"/>
                <w:sz w:val="20"/>
              </w:rPr>
              <w:t>Moy, D.</w:t>
            </w:r>
          </w:p>
        </w:tc>
        <w:tc>
          <w:tcPr>
            <w:tcW w:w="4010" w:type="dxa"/>
          </w:tcPr>
          <w:p w14:paraId="22863542" w14:textId="54067282" w:rsidR="00594D12" w:rsidRPr="006A3A0D" w:rsidRDefault="00594D12" w:rsidP="00594D12">
            <w:pPr>
              <w:rPr>
                <w:rFonts w:ascii="Palatino Linotype" w:hAnsi="Palatino Linotype"/>
                <w:sz w:val="20"/>
              </w:rPr>
            </w:pPr>
            <w:r w:rsidRPr="006A3A0D">
              <w:rPr>
                <w:rFonts w:ascii="Palatino Linotype" w:hAnsi="Palatino Linotype"/>
                <w:sz w:val="20"/>
              </w:rPr>
              <w:t>A Decision Support Framework for Sustainable Waste Management.</w:t>
            </w:r>
          </w:p>
        </w:tc>
        <w:tc>
          <w:tcPr>
            <w:tcW w:w="2128" w:type="dxa"/>
          </w:tcPr>
          <w:p w14:paraId="11B5DD7A" w14:textId="1663BE3F" w:rsidR="00594D12" w:rsidRDefault="00594D12" w:rsidP="00594D12">
            <w:pPr>
              <w:rPr>
                <w:rFonts w:ascii="Palatino Linotype" w:hAnsi="Palatino Linotype"/>
                <w:sz w:val="20"/>
              </w:rPr>
            </w:pPr>
            <w:r>
              <w:rPr>
                <w:rFonts w:ascii="Palatino Linotype" w:hAnsi="Palatino Linotype"/>
                <w:sz w:val="20"/>
              </w:rPr>
              <w:t>Journal of Industrial Ecology</w:t>
            </w:r>
          </w:p>
        </w:tc>
      </w:tr>
    </w:tbl>
    <w:p w14:paraId="2FACB981" w14:textId="20A5CDA1" w:rsidR="00FB232C" w:rsidRDefault="00FB232C" w:rsidP="00FB232C">
      <w:pPr>
        <w:spacing w:after="0"/>
        <w:ind w:left="454"/>
        <w:rPr>
          <w:rFonts w:ascii="Palatino Linotype" w:hAnsi="Palatino Linotype"/>
          <w:sz w:val="20"/>
        </w:rPr>
      </w:pPr>
    </w:p>
    <w:p w14:paraId="13CE6A0A" w14:textId="0F95B2E2" w:rsidR="00653EF1" w:rsidRPr="001B7AFF" w:rsidRDefault="00653EF1" w:rsidP="00FB232C">
      <w:pPr>
        <w:spacing w:after="0"/>
        <w:ind w:left="454"/>
        <w:rPr>
          <w:rFonts w:ascii="Palatino Linotype" w:hAnsi="Palatino Linotype"/>
          <w:b/>
          <w:sz w:val="20"/>
        </w:rPr>
      </w:pPr>
      <w:r w:rsidRPr="001B7AFF">
        <w:rPr>
          <w:rFonts w:ascii="Palatino Linotype" w:hAnsi="Palatino Linotype"/>
          <w:b/>
          <w:sz w:val="20"/>
        </w:rPr>
        <w:t>2. Supplementary Data Regarding Section 5: Case Study</w:t>
      </w:r>
    </w:p>
    <w:p w14:paraId="0739F26F" w14:textId="4A5908E9" w:rsidR="00FB232C" w:rsidRDefault="00FB232C" w:rsidP="00FB232C">
      <w:pPr>
        <w:spacing w:after="0"/>
        <w:ind w:left="454"/>
        <w:rPr>
          <w:rFonts w:ascii="Palatino Linotype" w:hAnsi="Palatino Linotype"/>
          <w:sz w:val="20"/>
        </w:rPr>
      </w:pPr>
    </w:p>
    <w:p w14:paraId="25A4DFCB" w14:textId="3C92E2B2" w:rsidR="000A05EF" w:rsidRPr="000A05EF" w:rsidRDefault="001B7AFF" w:rsidP="000A05EF">
      <w:pPr>
        <w:spacing w:after="0"/>
        <w:ind w:left="454"/>
        <w:rPr>
          <w:rFonts w:ascii="Palatino Linotype" w:hAnsi="Palatino Linotype"/>
          <w:sz w:val="20"/>
          <w:lang w:bidi="en-US"/>
        </w:rPr>
      </w:pPr>
      <w:r>
        <w:rPr>
          <w:rFonts w:ascii="Palatino Linotype" w:hAnsi="Palatino Linotype"/>
          <w:sz w:val="20"/>
        </w:rPr>
        <w:t xml:space="preserve">For reasons of conciseness, only information pertaining to the outcomes and implications of the case study demonstration of the SWaVI framework is presented in the main paper. Details on how data </w:t>
      </w:r>
      <w:r w:rsidR="0031749C">
        <w:rPr>
          <w:rFonts w:ascii="Palatino Linotype" w:hAnsi="Palatino Linotype"/>
          <w:sz w:val="20"/>
        </w:rPr>
        <w:t xml:space="preserve">were </w:t>
      </w:r>
      <w:r>
        <w:rPr>
          <w:rFonts w:ascii="Palatino Linotype" w:hAnsi="Palatino Linotype"/>
          <w:sz w:val="20"/>
        </w:rPr>
        <w:t>collected, analysed and otherwise processed in order to arrive at the normali</w:t>
      </w:r>
      <w:r w:rsidR="00D83AB7">
        <w:rPr>
          <w:rFonts w:ascii="Palatino Linotype" w:hAnsi="Palatino Linotype"/>
          <w:sz w:val="20"/>
        </w:rPr>
        <w:t>z</w:t>
      </w:r>
      <w:r>
        <w:rPr>
          <w:rFonts w:ascii="Palatino Linotype" w:hAnsi="Palatino Linotype"/>
          <w:sz w:val="20"/>
        </w:rPr>
        <w:t>ed weighted values for each indicator regarding the Microwave Assisted Pectin Extraction (MAPE) process and the sale of food waste via wholesale are described in detail here. This section begins with SWaVI Stage 1 and works through to SWaVI Stage 5.</w:t>
      </w:r>
      <w:r w:rsidR="000A05EF" w:rsidRPr="000A05EF">
        <w:rPr>
          <w:rFonts w:ascii="Palatino Linotype" w:hAnsi="Palatino Linotype"/>
          <w:sz w:val="20"/>
          <w:lang w:bidi="en-US"/>
        </w:rPr>
        <w:t xml:space="preserve"> Data </w:t>
      </w:r>
      <w:r w:rsidR="0031749C">
        <w:rPr>
          <w:rFonts w:ascii="Palatino Linotype" w:hAnsi="Palatino Linotype"/>
          <w:sz w:val="20"/>
          <w:lang w:bidi="en-US"/>
        </w:rPr>
        <w:t>were</w:t>
      </w:r>
      <w:r w:rsidR="000A05EF" w:rsidRPr="000A05EF">
        <w:rPr>
          <w:rFonts w:ascii="Palatino Linotype" w:hAnsi="Palatino Linotype"/>
          <w:sz w:val="20"/>
          <w:lang w:bidi="en-US"/>
        </w:rPr>
        <w:t xml:space="preserve"> collected from </w:t>
      </w:r>
      <w:r w:rsidR="008A7B92">
        <w:rPr>
          <w:rFonts w:ascii="Palatino Linotype" w:hAnsi="Palatino Linotype"/>
          <w:sz w:val="20"/>
          <w:lang w:bidi="en-US"/>
        </w:rPr>
        <w:t>Chingford Fruit (</w:t>
      </w:r>
      <w:r w:rsidR="000A05EF" w:rsidRPr="000A05EF">
        <w:rPr>
          <w:rFonts w:ascii="Palatino Linotype" w:hAnsi="Palatino Linotype"/>
          <w:sz w:val="20"/>
          <w:lang w:bidi="en-US"/>
        </w:rPr>
        <w:t>CF</w:t>
      </w:r>
      <w:r w:rsidR="008A7B92">
        <w:rPr>
          <w:rFonts w:ascii="Palatino Linotype" w:hAnsi="Palatino Linotype"/>
          <w:sz w:val="20"/>
          <w:lang w:bidi="en-US"/>
        </w:rPr>
        <w:t>)</w:t>
      </w:r>
      <w:r w:rsidR="000A05EF" w:rsidRPr="000A05EF">
        <w:rPr>
          <w:rFonts w:ascii="Palatino Linotype" w:hAnsi="Palatino Linotype"/>
          <w:sz w:val="20"/>
          <w:lang w:bidi="en-US"/>
        </w:rPr>
        <w:t xml:space="preserve"> through site visits in </w:t>
      </w:r>
      <w:r w:rsidR="000651BF">
        <w:rPr>
          <w:rFonts w:ascii="Palatino Linotype" w:hAnsi="Palatino Linotype"/>
          <w:sz w:val="20"/>
          <w:lang w:bidi="en-US"/>
        </w:rPr>
        <w:t>s</w:t>
      </w:r>
      <w:r w:rsidR="000A05EF" w:rsidRPr="000A05EF">
        <w:rPr>
          <w:rFonts w:ascii="Palatino Linotype" w:hAnsi="Palatino Linotype"/>
          <w:sz w:val="20"/>
          <w:lang w:bidi="en-US"/>
        </w:rPr>
        <w:t>pring 201</w:t>
      </w:r>
      <w:r w:rsidR="00595931">
        <w:rPr>
          <w:rFonts w:ascii="Palatino Linotype" w:hAnsi="Palatino Linotype"/>
          <w:sz w:val="20"/>
          <w:lang w:bidi="en-US"/>
        </w:rPr>
        <w:t>7</w:t>
      </w:r>
      <w:r w:rsidR="000A05EF" w:rsidRPr="000A05EF">
        <w:rPr>
          <w:rFonts w:ascii="Palatino Linotype" w:hAnsi="Palatino Linotype"/>
          <w:sz w:val="20"/>
          <w:lang w:bidi="en-US"/>
        </w:rPr>
        <w:t>. In these visits, staff with an understanding of the creation and management of citrus waste at CF were interviewed, using a questionnaire for guidance, to identify sources, volumes and timings of waste, as well as linked value chain stakeholders and legislation. Data was collected for each month between April 2013 to March 2017. Once the initial data was collected and analysed, further communication with interviewees via email was established to collect missing data and clarify different aspects of the information already collected. Therefore, all information presented can be considered to have been provided by the industrial partners, unless another reference is given.</w:t>
      </w:r>
    </w:p>
    <w:p w14:paraId="54B79D92" w14:textId="116F0A44" w:rsidR="001B7AFF" w:rsidRDefault="001B7AFF" w:rsidP="00FB232C">
      <w:pPr>
        <w:spacing w:after="0"/>
        <w:ind w:left="454"/>
        <w:rPr>
          <w:rFonts w:ascii="Palatino Linotype" w:hAnsi="Palatino Linotype"/>
          <w:sz w:val="20"/>
        </w:rPr>
      </w:pPr>
    </w:p>
    <w:p w14:paraId="016B4120" w14:textId="0AAE2A7E" w:rsidR="001B7AFF" w:rsidRDefault="001B7AFF" w:rsidP="00FB232C">
      <w:pPr>
        <w:spacing w:after="0"/>
        <w:ind w:left="454"/>
        <w:rPr>
          <w:rFonts w:ascii="Palatino Linotype" w:hAnsi="Palatino Linotype"/>
          <w:sz w:val="20"/>
        </w:rPr>
      </w:pPr>
    </w:p>
    <w:p w14:paraId="56A0CA49" w14:textId="2DCD1DD9" w:rsidR="001B7AFF" w:rsidRDefault="001B7AFF" w:rsidP="00FB232C">
      <w:pPr>
        <w:spacing w:after="0"/>
        <w:ind w:left="454"/>
        <w:rPr>
          <w:rFonts w:ascii="Palatino Linotype" w:hAnsi="Palatino Linotype"/>
          <w:i/>
          <w:sz w:val="20"/>
        </w:rPr>
      </w:pPr>
      <w:r>
        <w:rPr>
          <w:rFonts w:ascii="Palatino Linotype" w:hAnsi="Palatino Linotype"/>
          <w:sz w:val="20"/>
        </w:rPr>
        <w:lastRenderedPageBreak/>
        <w:t xml:space="preserve">2.1 </w:t>
      </w:r>
      <w:bookmarkStart w:id="1" w:name="_Hlk524624670"/>
      <w:r w:rsidRPr="001B7AFF">
        <w:rPr>
          <w:rFonts w:ascii="Palatino Linotype" w:hAnsi="Palatino Linotype"/>
          <w:i/>
          <w:sz w:val="20"/>
        </w:rPr>
        <w:t>SWaVI Stage 1: Conceptual Modelling of Target Unavoidable Food Waste</w:t>
      </w:r>
      <w:bookmarkEnd w:id="1"/>
    </w:p>
    <w:p w14:paraId="05EA574B" w14:textId="36D6F47D" w:rsidR="008A7B92" w:rsidRPr="008A7B92" w:rsidRDefault="008A7B92" w:rsidP="008A7B92">
      <w:pPr>
        <w:spacing w:after="0"/>
        <w:ind w:left="454"/>
        <w:rPr>
          <w:rFonts w:ascii="Palatino Linotype" w:hAnsi="Palatino Linotype"/>
          <w:sz w:val="20"/>
        </w:rPr>
      </w:pPr>
      <w:r w:rsidRPr="008A7B92">
        <w:rPr>
          <w:rFonts w:ascii="Palatino Linotype" w:hAnsi="Palatino Linotype"/>
          <w:sz w:val="20"/>
          <w:lang w:bidi="en-US"/>
        </w:rPr>
        <w:t xml:space="preserve">The first step in the conceptual modelling was to identify where in their value chain CF had control over waste generation, and if there were multiple waste streams, which would be the focus of valorisation efforts. </w:t>
      </w:r>
      <w:proofErr w:type="gramStart"/>
      <w:r w:rsidRPr="008A7B92">
        <w:rPr>
          <w:rFonts w:ascii="Palatino Linotype" w:hAnsi="Palatino Linotype"/>
          <w:sz w:val="20"/>
          <w:lang w:bidi="en-US"/>
        </w:rPr>
        <w:t>All of</w:t>
      </w:r>
      <w:proofErr w:type="gramEnd"/>
      <w:r w:rsidRPr="008A7B92">
        <w:rPr>
          <w:rFonts w:ascii="Palatino Linotype" w:hAnsi="Palatino Linotype"/>
          <w:sz w:val="20"/>
          <w:lang w:bidi="en-US"/>
        </w:rPr>
        <w:t xml:space="preserve"> the data collected relating to where in the supply chain CF had control over waste, the focus on citrus, and the division into ‘eatable’ and ‘uneatable’ classes with volumes and seasonality were obtained from the head of sustainability at Chingford's. Data pertaining to relevant policy was collected through the interview with CF’s sustainability manager and online investigation by the author. Finally, data regarding stakeholders, particularly Guy &amp; Wright who currently use CFs uneatable waste for anaerobic digestion was collected through a site visit in </w:t>
      </w:r>
      <w:r w:rsidR="00BD1209">
        <w:rPr>
          <w:rFonts w:ascii="Palatino Linotype" w:hAnsi="Palatino Linotype"/>
          <w:sz w:val="20"/>
          <w:lang w:bidi="en-US"/>
        </w:rPr>
        <w:t>s</w:t>
      </w:r>
      <w:r w:rsidR="00BD1209" w:rsidRPr="008A7B92">
        <w:rPr>
          <w:rFonts w:ascii="Palatino Linotype" w:hAnsi="Palatino Linotype"/>
          <w:sz w:val="20"/>
          <w:lang w:bidi="en-US"/>
        </w:rPr>
        <w:t xml:space="preserve">pring </w:t>
      </w:r>
      <w:r w:rsidRPr="008A7B92">
        <w:rPr>
          <w:rFonts w:ascii="Palatino Linotype" w:hAnsi="Palatino Linotype"/>
          <w:sz w:val="20"/>
          <w:lang w:bidi="en-US"/>
        </w:rPr>
        <w:t>201</w:t>
      </w:r>
      <w:r w:rsidR="002E7E4A">
        <w:rPr>
          <w:rFonts w:ascii="Palatino Linotype" w:hAnsi="Palatino Linotype"/>
          <w:sz w:val="20"/>
          <w:lang w:bidi="en-US"/>
        </w:rPr>
        <w:t>7</w:t>
      </w:r>
    </w:p>
    <w:p w14:paraId="23235718" w14:textId="5E2C9BE4" w:rsidR="001B7AFF" w:rsidRDefault="001B7AFF" w:rsidP="008A7B92">
      <w:pPr>
        <w:spacing w:after="0"/>
        <w:rPr>
          <w:rFonts w:ascii="Palatino Linotype" w:hAnsi="Palatino Linotype"/>
          <w:sz w:val="20"/>
        </w:rPr>
      </w:pPr>
    </w:p>
    <w:p w14:paraId="08EABAA3" w14:textId="425BB492" w:rsidR="001B7AFF" w:rsidRDefault="001B7AFF" w:rsidP="001B7AFF">
      <w:pPr>
        <w:spacing w:after="0"/>
        <w:ind w:left="454"/>
        <w:rPr>
          <w:rFonts w:ascii="Palatino Linotype" w:hAnsi="Palatino Linotype"/>
          <w:i/>
          <w:sz w:val="20"/>
        </w:rPr>
      </w:pPr>
      <w:r>
        <w:rPr>
          <w:rFonts w:ascii="Palatino Linotype" w:hAnsi="Palatino Linotype"/>
          <w:sz w:val="20"/>
        </w:rPr>
        <w:t>2.2</w:t>
      </w:r>
      <w:bookmarkStart w:id="2" w:name="_Hlk525228636"/>
      <w:r w:rsidRPr="001B7AFF">
        <w:rPr>
          <w:rFonts w:ascii="Palatino Linotype" w:eastAsia="Times New Roman" w:hAnsi="Palatino Linotype" w:cs="Times New Roman"/>
          <w:i/>
          <w:noProof/>
          <w:snapToGrid w:val="0"/>
          <w:color w:val="000000"/>
          <w:sz w:val="20"/>
          <w:lang w:eastAsia="de-DE" w:bidi="en-US"/>
        </w:rPr>
        <w:t xml:space="preserve"> </w:t>
      </w:r>
      <w:r w:rsidRPr="001B7AFF">
        <w:rPr>
          <w:rFonts w:ascii="Palatino Linotype" w:hAnsi="Palatino Linotype"/>
          <w:i/>
          <w:sz w:val="20"/>
        </w:rPr>
        <w:t>SWaVI Stage 2: Identification of Possible Valorisation Scenarios</w:t>
      </w:r>
      <w:bookmarkEnd w:id="2"/>
    </w:p>
    <w:p w14:paraId="4ED3AD00" w14:textId="02AFD9DE" w:rsidR="00783242" w:rsidRPr="00783242" w:rsidRDefault="000B7492" w:rsidP="00760D1C">
      <w:pPr>
        <w:spacing w:after="0"/>
        <w:ind w:left="454"/>
        <w:rPr>
          <w:rFonts w:ascii="Palatino Linotype" w:eastAsia="Times New Roman" w:hAnsi="Palatino Linotype" w:cs="Times New Roman"/>
          <w:snapToGrid w:val="0"/>
          <w:color w:val="000000"/>
          <w:sz w:val="20"/>
          <w:lang w:val="en-US" w:eastAsia="de-DE" w:bidi="en-US"/>
        </w:rPr>
      </w:pPr>
      <w:r>
        <w:rPr>
          <w:rFonts w:ascii="Palatino Linotype" w:eastAsia="Times New Roman" w:hAnsi="Palatino Linotype" w:cs="Times New Roman"/>
          <w:snapToGrid w:val="0"/>
          <w:color w:val="000000"/>
          <w:sz w:val="20"/>
          <w:lang w:val="en-US" w:eastAsia="de-DE" w:bidi="en-US"/>
        </w:rPr>
        <w:t>As outlined in the main article, currently, the fraction of citrus waste that is blemished but still edible (referred to as 2</w:t>
      </w:r>
      <w:r w:rsidRPr="000B7492">
        <w:rPr>
          <w:rFonts w:ascii="Palatino Linotype" w:eastAsia="Times New Roman" w:hAnsi="Palatino Linotype" w:cs="Times New Roman"/>
          <w:snapToGrid w:val="0"/>
          <w:color w:val="000000"/>
          <w:sz w:val="20"/>
          <w:vertAlign w:val="superscript"/>
          <w:lang w:val="en-US" w:eastAsia="de-DE" w:bidi="en-US"/>
        </w:rPr>
        <w:t>nd</w:t>
      </w:r>
      <w:r>
        <w:rPr>
          <w:rFonts w:ascii="Palatino Linotype" w:eastAsia="Times New Roman" w:hAnsi="Palatino Linotype" w:cs="Times New Roman"/>
          <w:snapToGrid w:val="0"/>
          <w:color w:val="000000"/>
          <w:sz w:val="20"/>
          <w:lang w:val="en-US" w:eastAsia="de-DE" w:bidi="en-US"/>
        </w:rPr>
        <w:t xml:space="preserve"> class waste) is sent to </w:t>
      </w:r>
      <w:r w:rsidR="00760D1C">
        <w:rPr>
          <w:rFonts w:ascii="Palatino Linotype" w:eastAsia="Times New Roman" w:hAnsi="Palatino Linotype" w:cs="Times New Roman"/>
          <w:snapToGrid w:val="0"/>
          <w:color w:val="000000"/>
          <w:sz w:val="20"/>
          <w:lang w:val="en-US" w:eastAsia="de-DE" w:bidi="en-US"/>
        </w:rPr>
        <w:t>wholesale</w:t>
      </w:r>
      <w:r>
        <w:rPr>
          <w:rFonts w:ascii="Palatino Linotype" w:eastAsia="Times New Roman" w:hAnsi="Palatino Linotype" w:cs="Times New Roman"/>
          <w:snapToGrid w:val="0"/>
          <w:color w:val="000000"/>
          <w:sz w:val="20"/>
          <w:lang w:val="en-US" w:eastAsia="de-DE" w:bidi="en-US"/>
        </w:rPr>
        <w:t xml:space="preserve"> markets at a loss of </w:t>
      </w:r>
      <w:r w:rsidR="00760D1C">
        <w:rPr>
          <w:rFonts w:ascii="Palatino Linotype" w:eastAsia="Times New Roman" w:hAnsi="Palatino Linotype" w:cs="Times New Roman"/>
          <w:snapToGrid w:val="0"/>
          <w:color w:val="000000"/>
          <w:sz w:val="20"/>
          <w:lang w:val="en-US" w:eastAsia="de-DE" w:bidi="en-US"/>
        </w:rPr>
        <w:t>approximately</w:t>
      </w:r>
      <w:r>
        <w:rPr>
          <w:rFonts w:ascii="Palatino Linotype" w:eastAsia="Times New Roman" w:hAnsi="Palatino Linotype" w:cs="Times New Roman"/>
          <w:snapToGrid w:val="0"/>
          <w:color w:val="000000"/>
          <w:sz w:val="20"/>
          <w:lang w:val="en-US" w:eastAsia="de-DE" w:bidi="en-US"/>
        </w:rPr>
        <w:t xml:space="preserve"> 80%. Fruit that is damaged or spoiled </w:t>
      </w:r>
      <w:r w:rsidR="00760D1C">
        <w:rPr>
          <w:rFonts w:ascii="Palatino Linotype" w:eastAsia="Times New Roman" w:hAnsi="Palatino Linotype" w:cs="Times New Roman"/>
          <w:snapToGrid w:val="0"/>
          <w:color w:val="000000"/>
          <w:sz w:val="20"/>
          <w:lang w:val="en-US" w:eastAsia="de-DE" w:bidi="en-US"/>
        </w:rPr>
        <w:t>beyond</w:t>
      </w:r>
      <w:r>
        <w:rPr>
          <w:rFonts w:ascii="Palatino Linotype" w:eastAsia="Times New Roman" w:hAnsi="Palatino Linotype" w:cs="Times New Roman"/>
          <w:snapToGrid w:val="0"/>
          <w:color w:val="000000"/>
          <w:sz w:val="20"/>
          <w:lang w:val="en-US" w:eastAsia="de-DE" w:bidi="en-US"/>
        </w:rPr>
        <w:t xml:space="preserve"> the point that it can be safely consumed by humans is currently </w:t>
      </w:r>
      <w:r w:rsidR="00760D1C">
        <w:rPr>
          <w:rFonts w:ascii="Palatino Linotype" w:eastAsia="Times New Roman" w:hAnsi="Palatino Linotype" w:cs="Times New Roman"/>
          <w:snapToGrid w:val="0"/>
          <w:color w:val="000000"/>
          <w:sz w:val="20"/>
          <w:lang w:val="en-US" w:eastAsia="de-DE" w:bidi="en-US"/>
        </w:rPr>
        <w:t>s</w:t>
      </w:r>
      <w:r>
        <w:rPr>
          <w:rFonts w:ascii="Palatino Linotype" w:eastAsia="Times New Roman" w:hAnsi="Palatino Linotype" w:cs="Times New Roman"/>
          <w:snapToGrid w:val="0"/>
          <w:color w:val="000000"/>
          <w:sz w:val="20"/>
          <w:lang w:val="en-US" w:eastAsia="de-DE" w:bidi="en-US"/>
        </w:rPr>
        <w:t xml:space="preserve">ent to anaerobic </w:t>
      </w:r>
      <w:r w:rsidR="00760D1C">
        <w:rPr>
          <w:rFonts w:ascii="Palatino Linotype" w:eastAsia="Times New Roman" w:hAnsi="Palatino Linotype" w:cs="Times New Roman"/>
          <w:snapToGrid w:val="0"/>
          <w:color w:val="000000"/>
          <w:sz w:val="20"/>
          <w:lang w:val="en-US" w:eastAsia="de-DE" w:bidi="en-US"/>
        </w:rPr>
        <w:t>digestion</w:t>
      </w:r>
      <w:r>
        <w:rPr>
          <w:rFonts w:ascii="Palatino Linotype" w:eastAsia="Times New Roman" w:hAnsi="Palatino Linotype" w:cs="Times New Roman"/>
          <w:snapToGrid w:val="0"/>
          <w:color w:val="000000"/>
          <w:sz w:val="20"/>
          <w:lang w:val="en-US" w:eastAsia="de-DE" w:bidi="en-US"/>
        </w:rPr>
        <w:t xml:space="preserve"> </w:t>
      </w:r>
      <w:r w:rsidR="00760D1C">
        <w:rPr>
          <w:rFonts w:ascii="Palatino Linotype" w:eastAsia="Times New Roman" w:hAnsi="Palatino Linotype" w:cs="Times New Roman"/>
          <w:snapToGrid w:val="0"/>
          <w:color w:val="000000"/>
          <w:sz w:val="20"/>
          <w:lang w:val="en-US" w:eastAsia="de-DE" w:bidi="en-US"/>
        </w:rPr>
        <w:t>a</w:t>
      </w:r>
      <w:r>
        <w:rPr>
          <w:rFonts w:ascii="Palatino Linotype" w:eastAsia="Times New Roman" w:hAnsi="Palatino Linotype" w:cs="Times New Roman"/>
          <w:snapToGrid w:val="0"/>
          <w:color w:val="000000"/>
          <w:sz w:val="20"/>
          <w:lang w:val="en-US" w:eastAsia="de-DE" w:bidi="en-US"/>
        </w:rPr>
        <w:t xml:space="preserve">t a local farm (uneatable waste). The goal of this stage of the case study was to find a valorisation process that could match the relatively high environmental and social performance of wholesale </w:t>
      </w:r>
      <w:r w:rsidR="00BD0D87">
        <w:rPr>
          <w:rFonts w:ascii="Palatino Linotype" w:eastAsia="Times New Roman" w:hAnsi="Palatino Linotype" w:cs="Times New Roman"/>
          <w:snapToGrid w:val="0"/>
          <w:color w:val="000000"/>
          <w:sz w:val="20"/>
          <w:lang w:val="en-US" w:eastAsia="de-DE" w:bidi="en-US"/>
        </w:rPr>
        <w:t>treatment but</w:t>
      </w:r>
      <w:r>
        <w:rPr>
          <w:rFonts w:ascii="Palatino Linotype" w:eastAsia="Times New Roman" w:hAnsi="Palatino Linotype" w:cs="Times New Roman"/>
          <w:snapToGrid w:val="0"/>
          <w:color w:val="000000"/>
          <w:sz w:val="20"/>
          <w:lang w:val="en-US" w:eastAsia="de-DE" w:bidi="en-US"/>
        </w:rPr>
        <w:t xml:space="preserve"> provide much better economic returns. It was </w:t>
      </w:r>
      <w:r w:rsidR="00760D1C">
        <w:rPr>
          <w:rFonts w:ascii="Palatino Linotype" w:eastAsia="Times New Roman" w:hAnsi="Palatino Linotype" w:cs="Times New Roman"/>
          <w:snapToGrid w:val="0"/>
          <w:color w:val="000000"/>
          <w:sz w:val="20"/>
          <w:lang w:val="en-US" w:eastAsia="de-DE" w:bidi="en-US"/>
        </w:rPr>
        <w:t>identified, as</w:t>
      </w:r>
      <w:r>
        <w:rPr>
          <w:rFonts w:ascii="Palatino Linotype" w:eastAsia="Times New Roman" w:hAnsi="Palatino Linotype" w:cs="Times New Roman"/>
          <w:snapToGrid w:val="0"/>
          <w:color w:val="000000"/>
          <w:sz w:val="20"/>
          <w:lang w:val="en-US" w:eastAsia="de-DE" w:bidi="en-US"/>
        </w:rPr>
        <w:t xml:space="preserve"> described in the main article, that the extraction of high value compounds could achieve this better than alternatives, such as anaerobic digestion or animal feed and that pectin was perhaps the most valuable of the compounds that could be extracted (with global demand projected to rise significantly in coming years). </w:t>
      </w:r>
      <w:r w:rsidR="00760D1C">
        <w:rPr>
          <w:rFonts w:ascii="Palatino Linotype" w:eastAsia="Times New Roman" w:hAnsi="Palatino Linotype" w:cs="Times New Roman"/>
          <w:snapToGrid w:val="0"/>
          <w:color w:val="000000"/>
          <w:sz w:val="20"/>
          <w:lang w:val="en-US" w:eastAsia="de-DE" w:bidi="en-US"/>
        </w:rPr>
        <w:t>Therefore,</w:t>
      </w:r>
      <w:r>
        <w:rPr>
          <w:rFonts w:ascii="Palatino Linotype" w:eastAsia="Times New Roman" w:hAnsi="Palatino Linotype" w:cs="Times New Roman"/>
          <w:snapToGrid w:val="0"/>
          <w:color w:val="000000"/>
          <w:sz w:val="20"/>
          <w:lang w:val="en-US" w:eastAsia="de-DE" w:bidi="en-US"/>
        </w:rPr>
        <w:t xml:space="preserve"> the chosen scenarios were sale of fruit to </w:t>
      </w:r>
      <w:r w:rsidR="00760D1C">
        <w:rPr>
          <w:rFonts w:ascii="Palatino Linotype" w:eastAsia="Times New Roman" w:hAnsi="Palatino Linotype" w:cs="Times New Roman"/>
          <w:snapToGrid w:val="0"/>
          <w:color w:val="000000"/>
          <w:sz w:val="20"/>
          <w:lang w:val="en-US" w:eastAsia="de-DE" w:bidi="en-US"/>
        </w:rPr>
        <w:t>wholesale</w:t>
      </w:r>
      <w:r>
        <w:rPr>
          <w:rFonts w:ascii="Palatino Linotype" w:eastAsia="Times New Roman" w:hAnsi="Palatino Linotype" w:cs="Times New Roman"/>
          <w:snapToGrid w:val="0"/>
          <w:color w:val="000000"/>
          <w:sz w:val="20"/>
          <w:lang w:val="en-US" w:eastAsia="de-DE" w:bidi="en-US"/>
        </w:rPr>
        <w:t xml:space="preserve"> markets and a novel pectin extraction process known as Microwave Assisted Pectin Extraction. </w:t>
      </w:r>
      <w:r w:rsidR="000A05EF" w:rsidRPr="00332DBE">
        <w:rPr>
          <w:rFonts w:ascii="Palatino Linotype" w:eastAsia="Times New Roman" w:hAnsi="Palatino Linotype" w:cs="Times New Roman"/>
          <w:snapToGrid w:val="0"/>
          <w:color w:val="000000"/>
          <w:sz w:val="20"/>
          <w:lang w:val="en-US" w:eastAsia="de-DE" w:bidi="en-US"/>
        </w:rPr>
        <w:t>As CF do</w:t>
      </w:r>
      <w:r w:rsidR="000A05EF">
        <w:rPr>
          <w:rFonts w:ascii="Palatino Linotype" w:eastAsia="Times New Roman" w:hAnsi="Palatino Linotype" w:cs="Times New Roman"/>
          <w:snapToGrid w:val="0"/>
          <w:color w:val="000000"/>
          <w:sz w:val="20"/>
          <w:lang w:val="en-US" w:eastAsia="de-DE" w:bidi="en-US"/>
        </w:rPr>
        <w:t>es</w:t>
      </w:r>
      <w:r w:rsidR="000A05EF" w:rsidRPr="00332DBE">
        <w:rPr>
          <w:rFonts w:ascii="Palatino Linotype" w:eastAsia="Times New Roman" w:hAnsi="Palatino Linotype" w:cs="Times New Roman"/>
          <w:snapToGrid w:val="0"/>
          <w:color w:val="000000"/>
          <w:sz w:val="20"/>
          <w:lang w:val="en-US" w:eastAsia="de-DE" w:bidi="en-US"/>
        </w:rPr>
        <w:t xml:space="preserve"> not currently perform MAPE, data required for the evaluation</w:t>
      </w:r>
      <w:r w:rsidR="00783242">
        <w:rPr>
          <w:rFonts w:ascii="Palatino Linotype" w:eastAsia="Times New Roman" w:hAnsi="Palatino Linotype" w:cs="Times New Roman"/>
          <w:snapToGrid w:val="0"/>
          <w:color w:val="000000"/>
          <w:sz w:val="20"/>
          <w:lang w:val="en-US" w:eastAsia="de-DE" w:bidi="en-US"/>
        </w:rPr>
        <w:t xml:space="preserve"> (associated with </w:t>
      </w:r>
      <w:proofErr w:type="gramStart"/>
      <w:r w:rsidR="00783242">
        <w:rPr>
          <w:rFonts w:ascii="Palatino Linotype" w:eastAsia="Times New Roman" w:hAnsi="Palatino Linotype" w:cs="Times New Roman"/>
          <w:snapToGrid w:val="0"/>
          <w:color w:val="000000"/>
          <w:sz w:val="20"/>
          <w:lang w:val="en-US" w:eastAsia="de-DE" w:bidi="en-US"/>
        </w:rPr>
        <w:t>all of</w:t>
      </w:r>
      <w:proofErr w:type="gramEnd"/>
      <w:r w:rsidR="00783242">
        <w:rPr>
          <w:rFonts w:ascii="Palatino Linotype" w:eastAsia="Times New Roman" w:hAnsi="Palatino Linotype" w:cs="Times New Roman"/>
          <w:snapToGrid w:val="0"/>
          <w:color w:val="000000"/>
          <w:sz w:val="20"/>
          <w:lang w:val="en-US" w:eastAsia="de-DE" w:bidi="en-US"/>
        </w:rPr>
        <w:t xml:space="preserve"> the evaluation criteria selected in Stage 5.3 of the main article)</w:t>
      </w:r>
      <w:r w:rsidR="000A05EF" w:rsidRPr="00332DBE">
        <w:rPr>
          <w:rFonts w:ascii="Palatino Linotype" w:eastAsia="Times New Roman" w:hAnsi="Palatino Linotype" w:cs="Times New Roman"/>
          <w:snapToGrid w:val="0"/>
          <w:color w:val="000000"/>
          <w:sz w:val="20"/>
          <w:lang w:val="en-US" w:eastAsia="de-DE" w:bidi="en-US"/>
        </w:rPr>
        <w:t xml:space="preserve"> was empirically gathered in the laboratory </w:t>
      </w:r>
      <w:r w:rsidR="00783242">
        <w:rPr>
          <w:rFonts w:ascii="Palatino Linotype" w:eastAsia="Times New Roman" w:hAnsi="Palatino Linotype" w:cs="Times New Roman"/>
          <w:snapToGrid w:val="0"/>
          <w:color w:val="000000"/>
          <w:sz w:val="20"/>
          <w:lang w:val="en-US" w:eastAsia="de-DE" w:bidi="en-US"/>
        </w:rPr>
        <w:t>at the University of York via site visits in Spring 2018. C</w:t>
      </w:r>
      <w:r w:rsidR="00783242" w:rsidRPr="00783242">
        <w:rPr>
          <w:rFonts w:ascii="Palatino Linotype" w:eastAsia="Times New Roman" w:hAnsi="Palatino Linotype" w:cs="Times New Roman"/>
          <w:snapToGrid w:val="0"/>
          <w:color w:val="000000"/>
          <w:sz w:val="20"/>
          <w:lang w:val="en-US" w:eastAsia="de-DE" w:bidi="en-US"/>
        </w:rPr>
        <w:t>onventiona</w:t>
      </w:r>
      <w:r w:rsidR="00783242">
        <w:rPr>
          <w:rFonts w:ascii="Palatino Linotype" w:eastAsia="Times New Roman" w:hAnsi="Palatino Linotype" w:cs="Times New Roman"/>
          <w:snapToGrid w:val="0"/>
          <w:color w:val="000000"/>
          <w:sz w:val="20"/>
          <w:lang w:val="en-US" w:eastAsia="de-DE" w:bidi="en-US"/>
        </w:rPr>
        <w:t>l</w:t>
      </w:r>
      <w:r w:rsidR="00783242" w:rsidRPr="00783242">
        <w:rPr>
          <w:rFonts w:ascii="Palatino Linotype" w:eastAsia="Times New Roman" w:hAnsi="Palatino Linotype" w:cs="Times New Roman"/>
          <w:snapToGrid w:val="0"/>
          <w:color w:val="000000"/>
          <w:sz w:val="20"/>
          <w:lang w:val="en-US" w:eastAsia="de-DE" w:bidi="en-US"/>
        </w:rPr>
        <w:t>l</w:t>
      </w:r>
      <w:r w:rsidR="00783242">
        <w:rPr>
          <w:rFonts w:ascii="Palatino Linotype" w:eastAsia="Times New Roman" w:hAnsi="Palatino Linotype" w:cs="Times New Roman"/>
          <w:snapToGrid w:val="0"/>
          <w:color w:val="000000"/>
          <w:sz w:val="20"/>
          <w:lang w:val="en-US" w:eastAsia="de-DE" w:bidi="en-US"/>
        </w:rPr>
        <w:t>y,</w:t>
      </w:r>
      <w:r w:rsidR="00783242" w:rsidRPr="00783242">
        <w:rPr>
          <w:rFonts w:ascii="Palatino Linotype" w:eastAsia="Times New Roman" w:hAnsi="Palatino Linotype" w:cs="Times New Roman"/>
          <w:snapToGrid w:val="0"/>
          <w:color w:val="000000"/>
          <w:sz w:val="20"/>
          <w:lang w:val="en-US" w:eastAsia="de-DE" w:bidi="en-US"/>
        </w:rPr>
        <w:t xml:space="preserve"> pectin extraction typically</w:t>
      </w:r>
      <w:r w:rsidR="00760D1C">
        <w:rPr>
          <w:rFonts w:ascii="Palatino Linotype" w:eastAsia="Times New Roman" w:hAnsi="Palatino Linotype" w:cs="Times New Roman"/>
          <w:snapToGrid w:val="0"/>
          <w:color w:val="000000"/>
          <w:sz w:val="20"/>
          <w:lang w:val="en-US" w:eastAsia="de-DE" w:bidi="en-US"/>
        </w:rPr>
        <w:t xml:space="preserve"> </w:t>
      </w:r>
      <w:r w:rsidR="00783242" w:rsidRPr="00783242">
        <w:rPr>
          <w:rFonts w:ascii="Palatino Linotype" w:eastAsia="Times New Roman" w:hAnsi="Palatino Linotype" w:cs="Times New Roman"/>
          <w:snapToGrid w:val="0"/>
          <w:color w:val="000000"/>
          <w:sz w:val="20"/>
          <w:lang w:val="en-US" w:eastAsia="de-DE" w:bidi="en-US"/>
        </w:rPr>
        <w:t xml:space="preserve">requires boiling in acidic conditions </w:t>
      </w:r>
      <w:r w:rsidR="00760D1C">
        <w:rPr>
          <w:rFonts w:ascii="Palatino Linotype" w:eastAsia="Times New Roman" w:hAnsi="Palatino Linotype" w:cs="Times New Roman"/>
          <w:snapToGrid w:val="0"/>
          <w:color w:val="000000"/>
          <w:sz w:val="20"/>
          <w:lang w:val="en-US" w:eastAsia="de-DE" w:bidi="en-US"/>
        </w:rPr>
        <w:t>for</w:t>
      </w:r>
      <w:r w:rsidR="00783242" w:rsidRPr="00783242">
        <w:rPr>
          <w:rFonts w:ascii="Palatino Linotype" w:eastAsia="Times New Roman" w:hAnsi="Palatino Linotype" w:cs="Times New Roman"/>
          <w:snapToGrid w:val="0"/>
          <w:color w:val="000000"/>
          <w:sz w:val="20"/>
          <w:lang w:val="en-US" w:eastAsia="de-DE" w:bidi="en-US"/>
        </w:rPr>
        <w:t xml:space="preserve"> several hours to</w:t>
      </w:r>
      <w:r w:rsidR="00760D1C">
        <w:rPr>
          <w:rFonts w:ascii="Palatino Linotype" w:eastAsia="Times New Roman" w:hAnsi="Palatino Linotype" w:cs="Times New Roman"/>
          <w:snapToGrid w:val="0"/>
          <w:color w:val="000000"/>
          <w:sz w:val="20"/>
          <w:lang w:val="en-US" w:eastAsia="de-DE" w:bidi="en-US"/>
        </w:rPr>
        <w:t xml:space="preserve"> </w:t>
      </w:r>
      <w:r w:rsidR="00783242" w:rsidRPr="00783242">
        <w:rPr>
          <w:rFonts w:ascii="Palatino Linotype" w:eastAsia="Times New Roman" w:hAnsi="Palatino Linotype" w:cs="Times New Roman"/>
          <w:snapToGrid w:val="0"/>
          <w:color w:val="000000"/>
          <w:sz w:val="20"/>
          <w:lang w:val="en-US" w:eastAsia="de-DE" w:bidi="en-US"/>
        </w:rPr>
        <w:t>release the pectin</w:t>
      </w:r>
      <w:r w:rsidR="00760D1C">
        <w:rPr>
          <w:rFonts w:ascii="Palatino Linotype" w:eastAsia="Times New Roman" w:hAnsi="Palatino Linotype" w:cs="Times New Roman"/>
          <w:snapToGrid w:val="0"/>
          <w:color w:val="000000"/>
          <w:sz w:val="20"/>
          <w:lang w:val="en-US" w:eastAsia="de-DE" w:bidi="en-US"/>
        </w:rPr>
        <w:t>. However, by replacing this process with the use of microwaves, both the time requirements and the negative environmental impacts of the acid and high energy input to maintain boiling temperatures are reduced.</w:t>
      </w:r>
      <w:r w:rsidR="00783242" w:rsidRPr="00783242">
        <w:rPr>
          <w:rFonts w:ascii="Palatino Linotype" w:eastAsia="Times New Roman" w:hAnsi="Palatino Linotype" w:cs="Times New Roman"/>
          <w:snapToGrid w:val="0"/>
          <w:color w:val="000000"/>
          <w:sz w:val="20"/>
          <w:lang w:val="en-US" w:eastAsia="de-DE" w:bidi="en-US"/>
        </w:rPr>
        <w:t xml:space="preserve"> Following this, the</w:t>
      </w:r>
    </w:p>
    <w:p w14:paraId="532B24F2" w14:textId="6626E89E" w:rsidR="000A05EF" w:rsidRPr="001B7AFF" w:rsidRDefault="00783242" w:rsidP="00760D1C">
      <w:pPr>
        <w:spacing w:after="0"/>
        <w:ind w:left="454"/>
        <w:rPr>
          <w:rFonts w:ascii="Palatino Linotype" w:hAnsi="Palatino Linotype"/>
          <w:i/>
          <w:sz w:val="20"/>
        </w:rPr>
      </w:pPr>
      <w:r w:rsidRPr="00783242">
        <w:rPr>
          <w:rFonts w:ascii="Palatino Linotype" w:eastAsia="Times New Roman" w:hAnsi="Palatino Linotype" w:cs="Times New Roman"/>
          <w:snapToGrid w:val="0"/>
          <w:color w:val="000000"/>
          <w:sz w:val="20"/>
          <w:lang w:val="en-US" w:eastAsia="de-DE" w:bidi="en-US"/>
        </w:rPr>
        <w:t xml:space="preserve">resulting mixture </w:t>
      </w:r>
      <w:r w:rsidR="00760D1C">
        <w:rPr>
          <w:rFonts w:ascii="Palatino Linotype" w:eastAsia="Times New Roman" w:hAnsi="Palatino Linotype" w:cs="Times New Roman"/>
          <w:snapToGrid w:val="0"/>
          <w:color w:val="000000"/>
          <w:sz w:val="20"/>
          <w:lang w:val="en-US" w:eastAsia="de-DE" w:bidi="en-US"/>
        </w:rPr>
        <w:t>can be</w:t>
      </w:r>
      <w:r w:rsidRPr="00783242">
        <w:rPr>
          <w:rFonts w:ascii="Palatino Linotype" w:eastAsia="Times New Roman" w:hAnsi="Palatino Linotype" w:cs="Times New Roman"/>
          <w:snapToGrid w:val="0"/>
          <w:color w:val="000000"/>
          <w:sz w:val="20"/>
          <w:lang w:val="en-US" w:eastAsia="de-DE" w:bidi="en-US"/>
        </w:rPr>
        <w:t xml:space="preserve"> filtered, and an organic alcohol</w:t>
      </w:r>
      <w:r w:rsidR="00760D1C">
        <w:rPr>
          <w:rFonts w:ascii="Palatino Linotype" w:eastAsia="Times New Roman" w:hAnsi="Palatino Linotype" w:cs="Times New Roman"/>
          <w:snapToGrid w:val="0"/>
          <w:color w:val="000000"/>
          <w:sz w:val="20"/>
          <w:lang w:val="en-US" w:eastAsia="de-DE" w:bidi="en-US"/>
        </w:rPr>
        <w:t xml:space="preserve"> applied to facilitate the precipitation of the pectin. The process, as performed by York is described by Garcia </w:t>
      </w:r>
      <w:proofErr w:type="spellStart"/>
      <w:r w:rsidR="00760D1C">
        <w:rPr>
          <w:rFonts w:ascii="Palatino Linotype" w:eastAsia="Times New Roman" w:hAnsi="Palatino Linotype" w:cs="Times New Roman"/>
          <w:snapToGrid w:val="0"/>
          <w:color w:val="000000"/>
          <w:sz w:val="20"/>
          <w:lang w:val="en-US" w:eastAsia="de-DE" w:bidi="en-US"/>
        </w:rPr>
        <w:t>Garcia</w:t>
      </w:r>
      <w:proofErr w:type="spellEnd"/>
      <w:r w:rsidR="00760D1C">
        <w:rPr>
          <w:rFonts w:ascii="Palatino Linotype" w:eastAsia="Times New Roman" w:hAnsi="Palatino Linotype" w:cs="Times New Roman"/>
          <w:snapToGrid w:val="0"/>
          <w:color w:val="000000"/>
          <w:sz w:val="20"/>
          <w:lang w:val="en-US" w:eastAsia="de-DE" w:bidi="en-US"/>
        </w:rPr>
        <w:t xml:space="preserve"> et al (2019)</w:t>
      </w:r>
      <w:r w:rsidR="00660336">
        <w:rPr>
          <w:rFonts w:ascii="Palatino Linotype" w:eastAsia="Times New Roman" w:hAnsi="Palatino Linotype" w:cs="Times New Roman"/>
          <w:snapToGrid w:val="0"/>
          <w:color w:val="000000"/>
          <w:sz w:val="20"/>
          <w:lang w:val="en-US" w:eastAsia="de-DE" w:bidi="en-US"/>
        </w:rPr>
        <w:t xml:space="preserve"> </w:t>
      </w:r>
      <w:r w:rsidR="00760D1C">
        <w:rPr>
          <w:rFonts w:ascii="Palatino Linotype" w:eastAsia="Times New Roman" w:hAnsi="Palatino Linotype" w:cs="Times New Roman"/>
          <w:snapToGrid w:val="0"/>
          <w:color w:val="000000"/>
          <w:sz w:val="20"/>
          <w:lang w:val="en-US" w:eastAsia="de-DE" w:bidi="en-US"/>
        </w:rPr>
        <w:fldChar w:fldCharType="begin" w:fldLock="1"/>
      </w:r>
      <w:r w:rsidR="009C589A">
        <w:rPr>
          <w:rFonts w:ascii="Palatino Linotype" w:eastAsia="Times New Roman" w:hAnsi="Palatino Linotype" w:cs="Times New Roman"/>
          <w:snapToGrid w:val="0"/>
          <w:color w:val="000000"/>
          <w:sz w:val="20"/>
          <w:lang w:val="en-US" w:eastAsia="de-DE" w:bidi="en-US"/>
        </w:rPr>
        <w:instrText>ADDIN CSL_CITATION {"citationItems":[{"id":"ITEM-1","itemData":{"DOI":"10.1021/acssuschemeng.8b06052","abstract":"The first Life-Cycle Assessment (LCA) of an acid-free, microwave-assisted process for pectin production at pilot scale is reported. The properties of the resulting pectin were measured and compared against the criteria for commercial pectin, while the energy consumption of the microwave process was measured to compare its life cycle impacts with that of the current commercial process. Overall, the pectin met all the criteria for food-grade commercial pectin. The microwave unit was estimated to have &lt;25% of the environmental impact of traditional acid-assisted thermal process in all categories measured and provided an improved yield of 5% (wet weight basis) compared to 3% by thermal heating under normalized conditions. The readouts were comparable with each other over three runs indicating a robust and reproducible process, crucial for scale-up purposes. With the product meeting the relevant criteria and the process being robust and more environmentally friendly, this work demonstrates the practical and commercial potential of microwave technology to succeed conventional acid-based extraction of pectin production.","author":[{"dropping-particle":"","family":"Garcia-Garcia","given":"Guillermo","non-dropping-particle":"","parse-names":false,"suffix":""},{"dropping-particle":"","family":"Rahimifard","given":"Shahin","non-dropping-particle":"","parse-names":false,"suffix":""},{"dropping-particle":"","family":"Matharu","given":"Avtar S","non-dropping-particle":"","parse-names":false,"suffix":""},{"dropping-particle":"","family":"Dugmore","given":"Thomas I J","non-dropping-particle":"","parse-names":false,"suffix":""}],"id":"ITEM-1","issued":{"date-parts":[["0"]]},"title":"Life-Cycle Assessment of Microwave-Assisted Pectin Extraction at Pilot Scale Centre for Sustainable Manufacturing and Recycling Technologies (SMART), Wolfson School of Mechanical, Electrical and Manufacturing Engineering","type":"article-journal"},"uris":["http://www.mendeley.com/documents/?uuid=3e59602a-3af7-3fd1-9b76-d5a9b06ecc45"]}],"mendeley":{"formattedCitation":"[1]","plainTextFormattedCitation":"[1]","previouslyFormattedCitation":"[1]"},"properties":{"noteIndex":0},"schema":"https://github.com/citation-style-language/schema/raw/master/csl-citation.json"}</w:instrText>
      </w:r>
      <w:r w:rsidR="00760D1C">
        <w:rPr>
          <w:rFonts w:ascii="Palatino Linotype" w:eastAsia="Times New Roman" w:hAnsi="Palatino Linotype" w:cs="Times New Roman"/>
          <w:snapToGrid w:val="0"/>
          <w:color w:val="000000"/>
          <w:sz w:val="20"/>
          <w:lang w:val="en-US" w:eastAsia="de-DE" w:bidi="en-US"/>
        </w:rPr>
        <w:fldChar w:fldCharType="separate"/>
      </w:r>
      <w:r w:rsidR="00760D1C" w:rsidRPr="00760D1C">
        <w:rPr>
          <w:rFonts w:ascii="Palatino Linotype" w:eastAsia="Times New Roman" w:hAnsi="Palatino Linotype" w:cs="Times New Roman"/>
          <w:noProof/>
          <w:snapToGrid w:val="0"/>
          <w:color w:val="000000"/>
          <w:sz w:val="20"/>
          <w:lang w:val="en-US" w:eastAsia="de-DE" w:bidi="en-US"/>
        </w:rPr>
        <w:t>[1]</w:t>
      </w:r>
      <w:r w:rsidR="00760D1C">
        <w:rPr>
          <w:rFonts w:ascii="Palatino Linotype" w:eastAsia="Times New Roman" w:hAnsi="Palatino Linotype" w:cs="Times New Roman"/>
          <w:snapToGrid w:val="0"/>
          <w:color w:val="000000"/>
          <w:sz w:val="20"/>
          <w:lang w:val="en-US" w:eastAsia="de-DE" w:bidi="en-US"/>
        </w:rPr>
        <w:fldChar w:fldCharType="end"/>
      </w:r>
      <w:r w:rsidR="00760D1C">
        <w:rPr>
          <w:rFonts w:ascii="Palatino Linotype" w:eastAsia="Times New Roman" w:hAnsi="Palatino Linotype" w:cs="Times New Roman"/>
          <w:snapToGrid w:val="0"/>
          <w:color w:val="000000"/>
          <w:sz w:val="20"/>
          <w:lang w:val="en-US" w:eastAsia="de-DE" w:bidi="en-US"/>
        </w:rPr>
        <w:t>.</w:t>
      </w:r>
    </w:p>
    <w:p w14:paraId="70655F21" w14:textId="669FA6EC" w:rsidR="001B7AFF" w:rsidRDefault="001B7AFF" w:rsidP="00FB232C">
      <w:pPr>
        <w:spacing w:after="0"/>
        <w:ind w:left="454"/>
        <w:rPr>
          <w:rFonts w:ascii="Palatino Linotype" w:hAnsi="Palatino Linotype"/>
          <w:sz w:val="20"/>
        </w:rPr>
      </w:pPr>
    </w:p>
    <w:p w14:paraId="15D38786" w14:textId="3C387C4D" w:rsidR="001B7AFF" w:rsidRDefault="001B7AFF" w:rsidP="00FB232C">
      <w:pPr>
        <w:spacing w:after="0"/>
        <w:ind w:left="454"/>
        <w:rPr>
          <w:rFonts w:ascii="Palatino Linotype" w:hAnsi="Palatino Linotype"/>
          <w:i/>
          <w:sz w:val="20"/>
        </w:rPr>
      </w:pPr>
      <w:r>
        <w:rPr>
          <w:rFonts w:ascii="Palatino Linotype" w:hAnsi="Palatino Linotype"/>
          <w:sz w:val="20"/>
        </w:rPr>
        <w:t xml:space="preserve">2.3 </w:t>
      </w:r>
      <w:r w:rsidRPr="001B7AFF">
        <w:rPr>
          <w:rFonts w:ascii="Palatino Linotype" w:hAnsi="Palatino Linotype"/>
          <w:i/>
          <w:sz w:val="20"/>
        </w:rPr>
        <w:t xml:space="preserve">SWaVI Stage 3: </w:t>
      </w:r>
      <w:bookmarkStart w:id="3" w:name="_Hlk525312670"/>
      <w:r w:rsidRPr="001B7AFF">
        <w:rPr>
          <w:rFonts w:ascii="Palatino Linotype" w:hAnsi="Palatino Linotype"/>
          <w:i/>
          <w:sz w:val="20"/>
        </w:rPr>
        <w:t>Selection of Evaluation Criteria</w:t>
      </w:r>
      <w:bookmarkEnd w:id="3"/>
    </w:p>
    <w:p w14:paraId="4754388F" w14:textId="6422AF3F" w:rsidR="00932CE4" w:rsidRPr="00932CE4" w:rsidRDefault="00760D1C" w:rsidP="00932CE4">
      <w:pPr>
        <w:spacing w:after="0"/>
        <w:ind w:left="454"/>
        <w:rPr>
          <w:rFonts w:ascii="Palatino Linotype" w:hAnsi="Palatino Linotype"/>
          <w:sz w:val="20"/>
          <w:lang w:val="en-US" w:bidi="en-US"/>
        </w:rPr>
      </w:pPr>
      <w:r w:rsidRPr="00760D1C">
        <w:rPr>
          <w:rFonts w:ascii="Palatino Linotype" w:hAnsi="Palatino Linotype"/>
          <w:sz w:val="20"/>
          <w:lang w:bidi="en-US"/>
        </w:rPr>
        <w:t xml:space="preserve">Selection of evaluation criteria in this case study consisted of </w:t>
      </w:r>
      <w:r w:rsidR="00932CE4" w:rsidRPr="00760D1C">
        <w:rPr>
          <w:rFonts w:ascii="Palatino Linotype" w:hAnsi="Palatino Linotype"/>
          <w:sz w:val="20"/>
          <w:lang w:bidi="en-US"/>
        </w:rPr>
        <w:t>analysing</w:t>
      </w:r>
      <w:r w:rsidRPr="00760D1C">
        <w:rPr>
          <w:rFonts w:ascii="Palatino Linotype" w:hAnsi="Palatino Linotype"/>
          <w:sz w:val="20"/>
          <w:lang w:bidi="en-US"/>
        </w:rPr>
        <w:t xml:space="preserve"> the criteria displayed in Table 3 with interviewees from CF to identify which were most appropriate for CF, based on their relevance to production processes used, company strategy and supply chain position.</w:t>
      </w:r>
      <w:r w:rsidR="00932CE4">
        <w:rPr>
          <w:rFonts w:ascii="Palatino Linotype" w:hAnsi="Palatino Linotype"/>
          <w:sz w:val="20"/>
          <w:lang w:bidi="en-US"/>
        </w:rPr>
        <w:t xml:space="preserve"> Only </w:t>
      </w:r>
      <w:r w:rsidR="00932CE4" w:rsidRPr="00932CE4">
        <w:rPr>
          <w:rFonts w:ascii="Palatino Linotype" w:hAnsi="Palatino Linotype"/>
          <w:sz w:val="20"/>
          <w:lang w:val="en-US" w:bidi="en-US"/>
        </w:rPr>
        <w:t xml:space="preserve">Land Use Change (LUC) </w:t>
      </w:r>
      <w:r w:rsidR="00932CE4">
        <w:rPr>
          <w:rFonts w:ascii="Palatino Linotype" w:hAnsi="Palatino Linotype"/>
          <w:sz w:val="20"/>
          <w:lang w:val="en-US" w:bidi="en-US"/>
        </w:rPr>
        <w:t xml:space="preserve">and </w:t>
      </w:r>
      <w:r w:rsidR="00932CE4" w:rsidRPr="00932CE4">
        <w:rPr>
          <w:rFonts w:ascii="Palatino Linotype" w:hAnsi="Palatino Linotype"/>
          <w:sz w:val="20"/>
          <w:lang w:val="en-US" w:bidi="en-US"/>
        </w:rPr>
        <w:t xml:space="preserve">Energy, Water and Mineral Efficiency (EWME) </w:t>
      </w:r>
      <w:r w:rsidR="00932CE4">
        <w:rPr>
          <w:rFonts w:ascii="Palatino Linotype" w:hAnsi="Palatino Linotype"/>
          <w:sz w:val="20"/>
          <w:lang w:val="en-US" w:bidi="en-US"/>
        </w:rPr>
        <w:t xml:space="preserve">were excluded, the former because it was not affected by the actions of either of the two valorisation processes being compared and the later due to </w:t>
      </w:r>
      <w:r w:rsidR="00932CE4" w:rsidRPr="00932CE4">
        <w:rPr>
          <w:rFonts w:ascii="Palatino Linotype" w:hAnsi="Palatino Linotype"/>
          <w:sz w:val="20"/>
          <w:lang w:val="en-US" w:bidi="en-US"/>
        </w:rPr>
        <w:t xml:space="preserve">challenges in obtaining suitable data from CF. </w:t>
      </w:r>
    </w:p>
    <w:p w14:paraId="5E056A7E" w14:textId="29AEC942" w:rsidR="001B7AFF" w:rsidRDefault="001B7AFF" w:rsidP="00FB232C">
      <w:pPr>
        <w:spacing w:after="0"/>
        <w:ind w:left="454"/>
        <w:rPr>
          <w:rFonts w:ascii="Palatino Linotype" w:hAnsi="Palatino Linotype"/>
          <w:sz w:val="20"/>
        </w:rPr>
      </w:pPr>
    </w:p>
    <w:p w14:paraId="2184AA36" w14:textId="21A9E4EC" w:rsidR="001B7AFF" w:rsidRDefault="001B7AFF" w:rsidP="00FB232C">
      <w:pPr>
        <w:spacing w:after="0"/>
        <w:ind w:left="454"/>
        <w:rPr>
          <w:rFonts w:ascii="Palatino Linotype" w:hAnsi="Palatino Linotype"/>
          <w:i/>
          <w:sz w:val="20"/>
        </w:rPr>
      </w:pPr>
      <w:r>
        <w:rPr>
          <w:rFonts w:ascii="Palatino Linotype" w:hAnsi="Palatino Linotype"/>
          <w:sz w:val="20"/>
        </w:rPr>
        <w:t xml:space="preserve">2.4 </w:t>
      </w:r>
      <w:r w:rsidRPr="001B7AFF">
        <w:rPr>
          <w:rFonts w:ascii="Palatino Linotype" w:hAnsi="Palatino Linotype"/>
          <w:i/>
          <w:sz w:val="20"/>
        </w:rPr>
        <w:t>SWaVI Stage 4: Data Collection and Evaluation</w:t>
      </w:r>
    </w:p>
    <w:p w14:paraId="441822A4" w14:textId="59ED27F7" w:rsidR="00A05244" w:rsidRDefault="00A05244" w:rsidP="004A590F">
      <w:pPr>
        <w:adjustRightInd w:val="0"/>
        <w:snapToGrid w:val="0"/>
        <w:spacing w:after="0" w:line="260" w:lineRule="atLeast"/>
        <w:ind w:left="425"/>
        <w:jc w:val="both"/>
        <w:rPr>
          <w:rFonts w:ascii="Palatino Linotype" w:eastAsia="Times New Roman" w:hAnsi="Palatino Linotype" w:cs="Times New Roman"/>
          <w:snapToGrid w:val="0"/>
          <w:color w:val="000000"/>
          <w:sz w:val="20"/>
          <w:lang w:val="en-US" w:eastAsia="de-DE" w:bidi="en-US"/>
        </w:rPr>
      </w:pPr>
      <w:r>
        <w:rPr>
          <w:rFonts w:ascii="Palatino Linotype" w:eastAsia="Times New Roman" w:hAnsi="Palatino Linotype" w:cs="Times New Roman"/>
          <w:snapToGrid w:val="0"/>
          <w:color w:val="000000"/>
          <w:sz w:val="20"/>
          <w:lang w:val="en-US" w:eastAsia="de-DE" w:bidi="en-US"/>
        </w:rPr>
        <w:t>Values were recorded for each of the selected evaluation criteria in the evaluation matrix shown in Table 2</w:t>
      </w:r>
      <w:r w:rsidR="004A590F">
        <w:rPr>
          <w:rFonts w:ascii="Palatino Linotype" w:eastAsia="Times New Roman" w:hAnsi="Palatino Linotype" w:cs="Times New Roman"/>
          <w:snapToGrid w:val="0"/>
          <w:color w:val="000000"/>
          <w:sz w:val="20"/>
          <w:lang w:val="en-US" w:eastAsia="de-DE" w:bidi="en-US"/>
        </w:rPr>
        <w:t xml:space="preserve"> (corresponding to Table 6 in the main article)</w:t>
      </w:r>
      <w:r>
        <w:rPr>
          <w:rFonts w:ascii="Palatino Linotype" w:eastAsia="Times New Roman" w:hAnsi="Palatino Linotype" w:cs="Times New Roman"/>
          <w:snapToGrid w:val="0"/>
          <w:color w:val="000000"/>
          <w:sz w:val="20"/>
          <w:lang w:val="en-US" w:eastAsia="de-DE" w:bidi="en-US"/>
        </w:rPr>
        <w:t>.</w:t>
      </w:r>
      <w:r w:rsidR="004A590F" w:rsidRPr="004A590F">
        <w:rPr>
          <w:rFonts w:ascii="Palatino Linotype" w:hAnsi="Palatino Linotype"/>
          <w:sz w:val="20"/>
          <w:lang w:bidi="en-US"/>
        </w:rPr>
        <w:t xml:space="preserve"> </w:t>
      </w:r>
      <w:r w:rsidR="004A590F" w:rsidRPr="00BE3E84">
        <w:rPr>
          <w:rFonts w:ascii="Palatino Linotype" w:hAnsi="Palatino Linotype"/>
          <w:sz w:val="20"/>
          <w:lang w:bidi="en-US"/>
        </w:rPr>
        <w:t xml:space="preserve">For each of the values shown in Table 2, </w:t>
      </w:r>
      <w:proofErr w:type="gramStart"/>
      <w:r w:rsidR="004A590F" w:rsidRPr="00BE3E84">
        <w:rPr>
          <w:rFonts w:ascii="Palatino Linotype" w:hAnsi="Palatino Linotype"/>
          <w:sz w:val="20"/>
          <w:lang w:bidi="en-US"/>
        </w:rPr>
        <w:t>a number of</w:t>
      </w:r>
      <w:proofErr w:type="gramEnd"/>
      <w:r w:rsidR="004A590F" w:rsidRPr="00BE3E84">
        <w:rPr>
          <w:rFonts w:ascii="Palatino Linotype" w:hAnsi="Palatino Linotype"/>
          <w:sz w:val="20"/>
          <w:lang w:bidi="en-US"/>
        </w:rPr>
        <w:t xml:space="preserve"> aggregation steps were often necessary, and this section describes such steps in full. As described in the main article, the boundaries for impact were delimited by where the valorisation scenario deviated from the normal procedure for disposal of that waste and were limited to direct impacts borne by CF.</w:t>
      </w:r>
    </w:p>
    <w:p w14:paraId="2A85F5D7" w14:textId="1C3858BE" w:rsidR="00A05244" w:rsidRDefault="00A05244" w:rsidP="00932CE4">
      <w:pPr>
        <w:adjustRightInd w:val="0"/>
        <w:snapToGrid w:val="0"/>
        <w:spacing w:after="0" w:line="260" w:lineRule="atLeast"/>
        <w:ind w:left="425"/>
        <w:jc w:val="both"/>
        <w:rPr>
          <w:rFonts w:ascii="Palatino Linotype" w:eastAsia="Times New Roman" w:hAnsi="Palatino Linotype" w:cs="Times New Roman"/>
          <w:snapToGrid w:val="0"/>
          <w:color w:val="000000"/>
          <w:sz w:val="20"/>
          <w:lang w:val="en-US" w:eastAsia="de-DE" w:bidi="en-US"/>
        </w:rPr>
      </w:pPr>
      <w:r w:rsidRPr="00332DBE">
        <w:rPr>
          <w:rFonts w:ascii="Palatino Linotype" w:eastAsia="Times New Roman" w:hAnsi="Palatino Linotype" w:cs="Times New Roman"/>
          <w:snapToGrid w:val="0"/>
          <w:color w:val="000000"/>
          <w:sz w:val="20"/>
          <w:lang w:val="en-US" w:eastAsia="de-DE" w:bidi="en-US"/>
        </w:rPr>
        <w:lastRenderedPageBreak/>
        <w:t xml:space="preserve">Table </w:t>
      </w:r>
      <w:r>
        <w:rPr>
          <w:rFonts w:ascii="Palatino Linotype" w:eastAsia="Times New Roman" w:hAnsi="Palatino Linotype" w:cs="Times New Roman"/>
          <w:snapToGrid w:val="0"/>
          <w:color w:val="000000"/>
          <w:sz w:val="20"/>
          <w:lang w:val="en-US" w:eastAsia="de-DE" w:bidi="en-US"/>
        </w:rPr>
        <w:t>2:</w:t>
      </w:r>
      <w:r w:rsidRPr="00332DBE">
        <w:rPr>
          <w:rFonts w:ascii="Palatino Linotype" w:eastAsia="Times New Roman" w:hAnsi="Palatino Linotype" w:cs="Times New Roman"/>
          <w:snapToGrid w:val="0"/>
          <w:color w:val="000000"/>
          <w:sz w:val="20"/>
          <w:lang w:val="en-US" w:eastAsia="de-DE" w:bidi="en-US"/>
        </w:rPr>
        <w:t xml:space="preserve"> </w:t>
      </w:r>
      <w:bookmarkStart w:id="4" w:name="_Hlk531194733"/>
      <w:r w:rsidRPr="00332DBE">
        <w:rPr>
          <w:rFonts w:ascii="Palatino Linotype" w:eastAsia="Times New Roman" w:hAnsi="Palatino Linotype" w:cs="Times New Roman"/>
          <w:snapToGrid w:val="0"/>
          <w:color w:val="000000"/>
          <w:sz w:val="20"/>
          <w:lang w:val="en-US" w:eastAsia="de-DE" w:bidi="en-US"/>
        </w:rPr>
        <w:t>Completed evaluation matrix for wholesale and MAPE scenarios</w:t>
      </w:r>
      <w:bookmarkEnd w:id="4"/>
    </w:p>
    <w:p w14:paraId="75204C8A" w14:textId="732532E1" w:rsidR="00A05244" w:rsidRDefault="00A05244" w:rsidP="00A05244">
      <w:pPr>
        <w:adjustRightInd w:val="0"/>
        <w:snapToGrid w:val="0"/>
        <w:spacing w:after="0" w:line="260" w:lineRule="atLeast"/>
        <w:jc w:val="both"/>
        <w:rPr>
          <w:rFonts w:ascii="Palatino Linotype" w:eastAsia="Times New Roman" w:hAnsi="Palatino Linotype" w:cs="Times New Roman"/>
          <w:snapToGrid w:val="0"/>
          <w:color w:val="000000"/>
          <w:sz w:val="20"/>
          <w:lang w:val="en-US" w:eastAsia="de-DE" w:bidi="en-US"/>
        </w:rPr>
      </w:pPr>
    </w:p>
    <w:tbl>
      <w:tblPr>
        <w:tblStyle w:val="TableGrid2"/>
        <w:tblW w:w="0" w:type="auto"/>
        <w:tblInd w:w="421" w:type="dxa"/>
        <w:tblLook w:val="04A0" w:firstRow="1" w:lastRow="0" w:firstColumn="1" w:lastColumn="0" w:noHBand="0" w:noVBand="1"/>
      </w:tblPr>
      <w:tblGrid>
        <w:gridCol w:w="1446"/>
        <w:gridCol w:w="2353"/>
        <w:gridCol w:w="1424"/>
        <w:gridCol w:w="1898"/>
        <w:gridCol w:w="1474"/>
      </w:tblGrid>
      <w:tr w:rsidR="00A05244" w:rsidRPr="00A05244" w14:paraId="0140A4B8" w14:textId="77777777" w:rsidTr="00A05244">
        <w:tc>
          <w:tcPr>
            <w:tcW w:w="1446" w:type="dxa"/>
          </w:tcPr>
          <w:p w14:paraId="02A93096" w14:textId="77777777" w:rsidR="00A05244" w:rsidRPr="00A05244" w:rsidRDefault="00A05244" w:rsidP="00A05244">
            <w:pPr>
              <w:adjustRightInd w:val="0"/>
              <w:snapToGrid w:val="0"/>
              <w:spacing w:line="260" w:lineRule="atLeast"/>
              <w:rPr>
                <w:rFonts w:ascii="Palatino Linotype" w:eastAsia="Times New Roman" w:hAnsi="Palatino Linotype"/>
                <w:b/>
                <w:snapToGrid w:val="0"/>
                <w:color w:val="000000"/>
                <w:sz w:val="18"/>
                <w:lang w:val="en-US" w:eastAsia="de-DE" w:bidi="en-US"/>
              </w:rPr>
            </w:pPr>
            <w:r w:rsidRPr="00A05244">
              <w:rPr>
                <w:rFonts w:ascii="Palatino Linotype" w:eastAsia="Times New Roman" w:hAnsi="Palatino Linotype"/>
                <w:b/>
                <w:snapToGrid w:val="0"/>
                <w:color w:val="000000"/>
                <w:sz w:val="18"/>
                <w:lang w:val="en-US" w:eastAsia="de-DE" w:bidi="en-US"/>
              </w:rPr>
              <w:t>Evaluation Criteria</w:t>
            </w:r>
          </w:p>
        </w:tc>
        <w:tc>
          <w:tcPr>
            <w:tcW w:w="2353" w:type="dxa"/>
          </w:tcPr>
          <w:p w14:paraId="2FB989BD" w14:textId="77777777" w:rsidR="00A05244" w:rsidRPr="00A05244" w:rsidRDefault="00A05244" w:rsidP="00A05244">
            <w:pPr>
              <w:adjustRightInd w:val="0"/>
              <w:snapToGrid w:val="0"/>
              <w:spacing w:line="260" w:lineRule="atLeast"/>
              <w:rPr>
                <w:rFonts w:ascii="Palatino Linotype" w:eastAsia="Times New Roman" w:hAnsi="Palatino Linotype"/>
                <w:b/>
                <w:snapToGrid w:val="0"/>
                <w:color w:val="000000"/>
                <w:sz w:val="18"/>
                <w:lang w:val="en-US" w:eastAsia="de-DE" w:bidi="en-US"/>
              </w:rPr>
            </w:pPr>
            <w:r w:rsidRPr="00A05244">
              <w:rPr>
                <w:rFonts w:ascii="Palatino Linotype" w:eastAsia="Times New Roman" w:hAnsi="Palatino Linotype"/>
                <w:b/>
                <w:snapToGrid w:val="0"/>
                <w:color w:val="000000"/>
                <w:sz w:val="18"/>
                <w:lang w:val="en-US" w:eastAsia="de-DE" w:bidi="en-US"/>
              </w:rPr>
              <w:t>Sub-Criteria</w:t>
            </w:r>
          </w:p>
        </w:tc>
        <w:tc>
          <w:tcPr>
            <w:tcW w:w="1424" w:type="dxa"/>
          </w:tcPr>
          <w:p w14:paraId="7BE5E7AF" w14:textId="77777777" w:rsidR="00A05244" w:rsidRPr="00A05244" w:rsidRDefault="00A05244" w:rsidP="00A05244">
            <w:pPr>
              <w:adjustRightInd w:val="0"/>
              <w:snapToGrid w:val="0"/>
              <w:spacing w:line="260" w:lineRule="atLeast"/>
              <w:rPr>
                <w:rFonts w:ascii="Palatino Linotype" w:eastAsia="Times New Roman" w:hAnsi="Palatino Linotype"/>
                <w:b/>
                <w:snapToGrid w:val="0"/>
                <w:color w:val="000000"/>
                <w:sz w:val="18"/>
                <w:lang w:val="en-US" w:eastAsia="de-DE" w:bidi="en-US"/>
              </w:rPr>
            </w:pPr>
            <w:r w:rsidRPr="00A05244">
              <w:rPr>
                <w:rFonts w:ascii="Palatino Linotype" w:eastAsia="Times New Roman" w:hAnsi="Palatino Linotype"/>
                <w:b/>
                <w:snapToGrid w:val="0"/>
                <w:color w:val="000000"/>
                <w:sz w:val="18"/>
                <w:lang w:val="en-US" w:eastAsia="de-DE" w:bidi="en-US"/>
              </w:rPr>
              <w:t>Unit</w:t>
            </w:r>
          </w:p>
        </w:tc>
        <w:tc>
          <w:tcPr>
            <w:tcW w:w="1898" w:type="dxa"/>
          </w:tcPr>
          <w:p w14:paraId="3DF6151E" w14:textId="77777777" w:rsidR="00A05244" w:rsidRPr="00A05244" w:rsidRDefault="00A05244" w:rsidP="00A05244">
            <w:pPr>
              <w:adjustRightInd w:val="0"/>
              <w:snapToGrid w:val="0"/>
              <w:spacing w:line="260" w:lineRule="atLeast"/>
              <w:rPr>
                <w:rFonts w:ascii="Palatino Linotype" w:eastAsia="Times New Roman" w:hAnsi="Palatino Linotype"/>
                <w:b/>
                <w:snapToGrid w:val="0"/>
                <w:color w:val="000000"/>
                <w:sz w:val="18"/>
                <w:lang w:val="en-US" w:eastAsia="de-DE" w:bidi="en-US"/>
              </w:rPr>
            </w:pPr>
            <w:r w:rsidRPr="00A05244">
              <w:rPr>
                <w:rFonts w:ascii="Palatino Linotype" w:eastAsia="Times New Roman" w:hAnsi="Palatino Linotype"/>
                <w:b/>
                <w:snapToGrid w:val="0"/>
                <w:color w:val="000000"/>
                <w:sz w:val="18"/>
                <w:lang w:val="en-US" w:eastAsia="de-DE" w:bidi="en-US"/>
              </w:rPr>
              <w:t>Pectin Extraction Valorisation Scenario</w:t>
            </w:r>
          </w:p>
        </w:tc>
        <w:tc>
          <w:tcPr>
            <w:tcW w:w="1474" w:type="dxa"/>
          </w:tcPr>
          <w:p w14:paraId="2494F325" w14:textId="77777777" w:rsidR="00A05244" w:rsidRPr="00A05244" w:rsidRDefault="00A05244" w:rsidP="00A05244">
            <w:pPr>
              <w:adjustRightInd w:val="0"/>
              <w:snapToGrid w:val="0"/>
              <w:spacing w:line="260" w:lineRule="atLeast"/>
              <w:rPr>
                <w:rFonts w:ascii="Palatino Linotype" w:eastAsia="Times New Roman" w:hAnsi="Palatino Linotype"/>
                <w:b/>
                <w:snapToGrid w:val="0"/>
                <w:color w:val="000000"/>
                <w:sz w:val="18"/>
                <w:lang w:val="en-US" w:eastAsia="de-DE" w:bidi="en-US"/>
              </w:rPr>
            </w:pPr>
            <w:r w:rsidRPr="00A05244">
              <w:rPr>
                <w:rFonts w:ascii="Palatino Linotype" w:eastAsia="Times New Roman" w:hAnsi="Palatino Linotype"/>
                <w:b/>
                <w:snapToGrid w:val="0"/>
                <w:color w:val="000000"/>
                <w:sz w:val="18"/>
                <w:lang w:val="en-US" w:eastAsia="de-DE" w:bidi="en-US"/>
              </w:rPr>
              <w:t>Wholesale Valorisation Scenario</w:t>
            </w:r>
          </w:p>
        </w:tc>
      </w:tr>
      <w:tr w:rsidR="00A05244" w:rsidRPr="00A05244" w14:paraId="6554BEE5" w14:textId="77777777" w:rsidTr="00A05244">
        <w:tc>
          <w:tcPr>
            <w:tcW w:w="1446" w:type="dxa"/>
            <w:shd w:val="clear" w:color="auto" w:fill="E7E6E6" w:themeFill="background2"/>
          </w:tcPr>
          <w:p w14:paraId="27FBC4E4" w14:textId="77777777" w:rsidR="00A05244" w:rsidRPr="00A05244" w:rsidRDefault="00A05244" w:rsidP="00A05244">
            <w:pPr>
              <w:adjustRightInd w:val="0"/>
              <w:snapToGrid w:val="0"/>
              <w:spacing w:line="260" w:lineRule="atLeast"/>
              <w:jc w:val="both"/>
              <w:rPr>
                <w:rFonts w:ascii="Palatino Linotype" w:eastAsia="Times New Roman" w:hAnsi="Palatino Linotype"/>
                <w:b/>
                <w:snapToGrid w:val="0"/>
                <w:color w:val="000000"/>
                <w:sz w:val="18"/>
                <w:lang w:val="en-US" w:eastAsia="de-DE" w:bidi="en-US"/>
              </w:rPr>
            </w:pPr>
            <w:r w:rsidRPr="00A05244">
              <w:rPr>
                <w:rFonts w:ascii="Palatino Linotype" w:eastAsia="Times New Roman" w:hAnsi="Palatino Linotype"/>
                <w:b/>
                <w:snapToGrid w:val="0"/>
                <w:color w:val="000000"/>
                <w:sz w:val="18"/>
                <w:lang w:val="en-US" w:eastAsia="de-DE" w:bidi="en-US"/>
              </w:rPr>
              <w:t>Economic</w:t>
            </w:r>
          </w:p>
        </w:tc>
        <w:tc>
          <w:tcPr>
            <w:tcW w:w="2353" w:type="dxa"/>
            <w:shd w:val="clear" w:color="auto" w:fill="E7E6E6" w:themeFill="background2"/>
          </w:tcPr>
          <w:p w14:paraId="00BD3274"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Net Present Value</w:t>
            </w:r>
          </w:p>
        </w:tc>
        <w:tc>
          <w:tcPr>
            <w:tcW w:w="1424" w:type="dxa"/>
            <w:shd w:val="clear" w:color="auto" w:fill="E7E6E6" w:themeFill="background2"/>
          </w:tcPr>
          <w:p w14:paraId="75454007"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w:t>
            </w:r>
          </w:p>
        </w:tc>
        <w:tc>
          <w:tcPr>
            <w:tcW w:w="1898" w:type="dxa"/>
            <w:shd w:val="clear" w:color="auto" w:fill="E7E6E6" w:themeFill="background2"/>
          </w:tcPr>
          <w:p w14:paraId="7CB6315B"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-26156509.91</w:t>
            </w:r>
          </w:p>
        </w:tc>
        <w:tc>
          <w:tcPr>
            <w:tcW w:w="1474" w:type="dxa"/>
            <w:shd w:val="clear" w:color="auto" w:fill="E7E6E6" w:themeFill="background2"/>
          </w:tcPr>
          <w:p w14:paraId="749077E7" w14:textId="77777777" w:rsidR="00A05244" w:rsidRPr="00A05244" w:rsidRDefault="00A05244" w:rsidP="00A05244">
            <w:pPr>
              <w:adjustRightInd w:val="0"/>
              <w:snapToGrid w:val="0"/>
              <w:spacing w:line="260" w:lineRule="atLeast"/>
              <w:jc w:val="center"/>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23912776.27</w:t>
            </w:r>
          </w:p>
        </w:tc>
      </w:tr>
      <w:tr w:rsidR="00A05244" w:rsidRPr="00A05244" w14:paraId="04ADB8DD" w14:textId="77777777" w:rsidTr="00A05244">
        <w:tc>
          <w:tcPr>
            <w:tcW w:w="1446" w:type="dxa"/>
            <w:vMerge w:val="restart"/>
            <w:shd w:val="clear" w:color="auto" w:fill="E2EFD9" w:themeFill="accent6" w:themeFillTint="33"/>
          </w:tcPr>
          <w:p w14:paraId="7F2C3945" w14:textId="77777777" w:rsidR="00A05244" w:rsidRPr="00A05244" w:rsidRDefault="00A05244" w:rsidP="00A05244">
            <w:pPr>
              <w:adjustRightInd w:val="0"/>
              <w:snapToGrid w:val="0"/>
              <w:spacing w:line="260" w:lineRule="atLeast"/>
              <w:jc w:val="both"/>
              <w:rPr>
                <w:rFonts w:ascii="Palatino Linotype" w:eastAsia="Times New Roman" w:hAnsi="Palatino Linotype"/>
                <w:b/>
                <w:snapToGrid w:val="0"/>
                <w:color w:val="000000"/>
                <w:sz w:val="18"/>
                <w:lang w:val="en-US" w:eastAsia="de-DE" w:bidi="en-US"/>
              </w:rPr>
            </w:pPr>
            <w:r w:rsidRPr="00A05244">
              <w:rPr>
                <w:rFonts w:ascii="Palatino Linotype" w:eastAsia="Times New Roman" w:hAnsi="Palatino Linotype"/>
                <w:b/>
                <w:snapToGrid w:val="0"/>
                <w:color w:val="000000"/>
                <w:sz w:val="18"/>
                <w:lang w:val="en-US" w:eastAsia="de-DE" w:bidi="en-US"/>
              </w:rPr>
              <w:t>Environmental</w:t>
            </w:r>
          </w:p>
        </w:tc>
        <w:tc>
          <w:tcPr>
            <w:tcW w:w="2353" w:type="dxa"/>
            <w:shd w:val="clear" w:color="auto" w:fill="E2EFD9" w:themeFill="accent6" w:themeFillTint="33"/>
          </w:tcPr>
          <w:p w14:paraId="5E9E035A"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Climate Change Potential</w:t>
            </w:r>
          </w:p>
        </w:tc>
        <w:tc>
          <w:tcPr>
            <w:tcW w:w="1424" w:type="dxa"/>
            <w:shd w:val="clear" w:color="auto" w:fill="E2EFD9" w:themeFill="accent6" w:themeFillTint="33"/>
          </w:tcPr>
          <w:p w14:paraId="6EF37420"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kg CO2-eq</w:t>
            </w:r>
          </w:p>
        </w:tc>
        <w:tc>
          <w:tcPr>
            <w:tcW w:w="1898" w:type="dxa"/>
            <w:shd w:val="clear" w:color="auto" w:fill="E2EFD9" w:themeFill="accent6" w:themeFillTint="33"/>
          </w:tcPr>
          <w:p w14:paraId="0CBAE710"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190298185</w:t>
            </w:r>
          </w:p>
        </w:tc>
        <w:tc>
          <w:tcPr>
            <w:tcW w:w="1474" w:type="dxa"/>
            <w:shd w:val="clear" w:color="auto" w:fill="E2EFD9" w:themeFill="accent6" w:themeFillTint="33"/>
          </w:tcPr>
          <w:p w14:paraId="793F18F7"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7237.5</w:t>
            </w:r>
          </w:p>
        </w:tc>
      </w:tr>
      <w:tr w:rsidR="00A05244" w:rsidRPr="00A05244" w14:paraId="2967BBF5" w14:textId="77777777" w:rsidTr="00A05244">
        <w:tc>
          <w:tcPr>
            <w:tcW w:w="1446" w:type="dxa"/>
            <w:vMerge/>
            <w:shd w:val="clear" w:color="auto" w:fill="E2EFD9" w:themeFill="accent6" w:themeFillTint="33"/>
          </w:tcPr>
          <w:p w14:paraId="1799B6F3" w14:textId="77777777" w:rsidR="00A05244" w:rsidRPr="00A05244" w:rsidRDefault="00A05244" w:rsidP="00A05244">
            <w:pPr>
              <w:adjustRightInd w:val="0"/>
              <w:snapToGrid w:val="0"/>
              <w:spacing w:line="260" w:lineRule="atLeast"/>
              <w:jc w:val="both"/>
              <w:rPr>
                <w:rFonts w:ascii="Palatino Linotype" w:eastAsia="Times New Roman" w:hAnsi="Palatino Linotype"/>
                <w:b/>
                <w:snapToGrid w:val="0"/>
                <w:color w:val="000000"/>
                <w:sz w:val="18"/>
                <w:lang w:val="en-US" w:eastAsia="de-DE" w:bidi="en-US"/>
              </w:rPr>
            </w:pPr>
          </w:p>
        </w:tc>
        <w:tc>
          <w:tcPr>
            <w:tcW w:w="2353" w:type="dxa"/>
            <w:shd w:val="clear" w:color="auto" w:fill="E2EFD9" w:themeFill="accent6" w:themeFillTint="33"/>
          </w:tcPr>
          <w:p w14:paraId="7F0C58BF"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Human Toxicity Potential</w:t>
            </w:r>
          </w:p>
        </w:tc>
        <w:tc>
          <w:tcPr>
            <w:tcW w:w="1424" w:type="dxa"/>
            <w:shd w:val="clear" w:color="auto" w:fill="E2EFD9" w:themeFill="accent6" w:themeFillTint="33"/>
          </w:tcPr>
          <w:p w14:paraId="17B59ABD"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proofErr w:type="spellStart"/>
            <w:r w:rsidRPr="00A05244">
              <w:rPr>
                <w:rFonts w:ascii="Palatino Linotype" w:eastAsia="Times New Roman" w:hAnsi="Palatino Linotype"/>
                <w:snapToGrid w:val="0"/>
                <w:color w:val="000000"/>
                <w:sz w:val="18"/>
                <w:lang w:val="en-US" w:eastAsia="de-DE" w:bidi="en-US"/>
              </w:rPr>
              <w:t>CTUh</w:t>
            </w:r>
            <w:proofErr w:type="spellEnd"/>
          </w:p>
        </w:tc>
        <w:tc>
          <w:tcPr>
            <w:tcW w:w="1898" w:type="dxa"/>
            <w:shd w:val="clear" w:color="auto" w:fill="E2EFD9" w:themeFill="accent6" w:themeFillTint="33"/>
          </w:tcPr>
          <w:p w14:paraId="2CFE082C"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41.19</w:t>
            </w:r>
          </w:p>
        </w:tc>
        <w:tc>
          <w:tcPr>
            <w:tcW w:w="1474" w:type="dxa"/>
            <w:shd w:val="clear" w:color="auto" w:fill="E2EFD9" w:themeFill="accent6" w:themeFillTint="33"/>
          </w:tcPr>
          <w:p w14:paraId="288C4CB6"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0</w:t>
            </w:r>
          </w:p>
        </w:tc>
      </w:tr>
      <w:tr w:rsidR="00A05244" w:rsidRPr="00A05244" w14:paraId="61F4732B" w14:textId="77777777" w:rsidTr="00A05244">
        <w:tc>
          <w:tcPr>
            <w:tcW w:w="1446" w:type="dxa"/>
            <w:vMerge/>
            <w:shd w:val="clear" w:color="auto" w:fill="E2EFD9" w:themeFill="accent6" w:themeFillTint="33"/>
          </w:tcPr>
          <w:p w14:paraId="0BA277AE" w14:textId="77777777" w:rsidR="00A05244" w:rsidRPr="00A05244" w:rsidRDefault="00A05244" w:rsidP="00A05244">
            <w:pPr>
              <w:adjustRightInd w:val="0"/>
              <w:snapToGrid w:val="0"/>
              <w:spacing w:line="260" w:lineRule="atLeast"/>
              <w:jc w:val="both"/>
              <w:rPr>
                <w:rFonts w:ascii="Palatino Linotype" w:eastAsia="Times New Roman" w:hAnsi="Palatino Linotype"/>
                <w:b/>
                <w:snapToGrid w:val="0"/>
                <w:color w:val="000000"/>
                <w:sz w:val="18"/>
                <w:lang w:val="en-US" w:eastAsia="de-DE" w:bidi="en-US"/>
              </w:rPr>
            </w:pPr>
          </w:p>
        </w:tc>
        <w:tc>
          <w:tcPr>
            <w:tcW w:w="2353" w:type="dxa"/>
            <w:shd w:val="clear" w:color="auto" w:fill="E2EFD9" w:themeFill="accent6" w:themeFillTint="33"/>
          </w:tcPr>
          <w:p w14:paraId="72D6013C"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 xml:space="preserve">Photochemical Ozone Formation Potential </w:t>
            </w:r>
          </w:p>
        </w:tc>
        <w:tc>
          <w:tcPr>
            <w:tcW w:w="1424" w:type="dxa"/>
            <w:shd w:val="clear" w:color="auto" w:fill="E2EFD9" w:themeFill="accent6" w:themeFillTint="33"/>
          </w:tcPr>
          <w:p w14:paraId="16FA4F63" w14:textId="1846EDC0" w:rsidR="00A05244" w:rsidRPr="00A05244" w:rsidRDefault="000D2BF0"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Pr>
                <w:rFonts w:ascii="Palatino Linotype" w:eastAsia="Times New Roman" w:hAnsi="Palatino Linotype"/>
                <w:snapToGrid w:val="0"/>
                <w:color w:val="000000"/>
                <w:sz w:val="18"/>
                <w:lang w:val="en-US" w:eastAsia="de-DE" w:bidi="en-US"/>
              </w:rPr>
              <w:t>k</w:t>
            </w:r>
            <w:r w:rsidR="00A05244" w:rsidRPr="00A05244">
              <w:rPr>
                <w:rFonts w:ascii="Palatino Linotype" w:eastAsia="Times New Roman" w:hAnsi="Palatino Linotype"/>
                <w:snapToGrid w:val="0"/>
                <w:color w:val="000000"/>
                <w:sz w:val="18"/>
                <w:lang w:val="en-US" w:eastAsia="de-DE" w:bidi="en-US"/>
              </w:rPr>
              <w:t>g NMVOC eq</w:t>
            </w:r>
          </w:p>
        </w:tc>
        <w:tc>
          <w:tcPr>
            <w:tcW w:w="1898" w:type="dxa"/>
            <w:shd w:val="clear" w:color="auto" w:fill="E2EFD9" w:themeFill="accent6" w:themeFillTint="33"/>
          </w:tcPr>
          <w:p w14:paraId="1BC454B8"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611260.84</w:t>
            </w:r>
          </w:p>
        </w:tc>
        <w:tc>
          <w:tcPr>
            <w:tcW w:w="1474" w:type="dxa"/>
            <w:shd w:val="clear" w:color="auto" w:fill="E2EFD9" w:themeFill="accent6" w:themeFillTint="33"/>
          </w:tcPr>
          <w:p w14:paraId="55F2E2D2"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20.7</w:t>
            </w:r>
          </w:p>
        </w:tc>
      </w:tr>
      <w:tr w:rsidR="00A05244" w:rsidRPr="00A05244" w14:paraId="060EBE7E" w14:textId="77777777" w:rsidTr="00A05244">
        <w:tc>
          <w:tcPr>
            <w:tcW w:w="1446" w:type="dxa"/>
            <w:vMerge/>
            <w:shd w:val="clear" w:color="auto" w:fill="E2EFD9" w:themeFill="accent6" w:themeFillTint="33"/>
          </w:tcPr>
          <w:p w14:paraId="79F33380" w14:textId="77777777" w:rsidR="00A05244" w:rsidRPr="00A05244" w:rsidRDefault="00A05244" w:rsidP="00A05244">
            <w:pPr>
              <w:adjustRightInd w:val="0"/>
              <w:snapToGrid w:val="0"/>
              <w:spacing w:line="260" w:lineRule="atLeast"/>
              <w:jc w:val="both"/>
              <w:rPr>
                <w:rFonts w:ascii="Palatino Linotype" w:eastAsia="Times New Roman" w:hAnsi="Palatino Linotype"/>
                <w:b/>
                <w:snapToGrid w:val="0"/>
                <w:color w:val="000000"/>
                <w:sz w:val="18"/>
                <w:lang w:val="en-US" w:eastAsia="de-DE" w:bidi="en-US"/>
              </w:rPr>
            </w:pPr>
          </w:p>
        </w:tc>
        <w:tc>
          <w:tcPr>
            <w:tcW w:w="2353" w:type="dxa"/>
            <w:shd w:val="clear" w:color="auto" w:fill="E2EFD9" w:themeFill="accent6" w:themeFillTint="33"/>
          </w:tcPr>
          <w:p w14:paraId="020BB183"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Acidification Potential</w:t>
            </w:r>
          </w:p>
        </w:tc>
        <w:tc>
          <w:tcPr>
            <w:tcW w:w="1424" w:type="dxa"/>
            <w:shd w:val="clear" w:color="auto" w:fill="E2EFD9" w:themeFill="accent6" w:themeFillTint="33"/>
          </w:tcPr>
          <w:p w14:paraId="15A59362"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molecular H+ eq</w:t>
            </w:r>
          </w:p>
        </w:tc>
        <w:tc>
          <w:tcPr>
            <w:tcW w:w="1898" w:type="dxa"/>
            <w:shd w:val="clear" w:color="auto" w:fill="E2EFD9" w:themeFill="accent6" w:themeFillTint="33"/>
          </w:tcPr>
          <w:p w14:paraId="0C13D134"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964177.47</w:t>
            </w:r>
          </w:p>
        </w:tc>
        <w:tc>
          <w:tcPr>
            <w:tcW w:w="1474" w:type="dxa"/>
            <w:shd w:val="clear" w:color="auto" w:fill="E2EFD9" w:themeFill="accent6" w:themeFillTint="33"/>
          </w:tcPr>
          <w:p w14:paraId="6F4D5DA7"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23.4</w:t>
            </w:r>
          </w:p>
        </w:tc>
      </w:tr>
      <w:tr w:rsidR="00A05244" w:rsidRPr="00A05244" w14:paraId="43364480" w14:textId="77777777" w:rsidTr="00A05244">
        <w:tc>
          <w:tcPr>
            <w:tcW w:w="1446" w:type="dxa"/>
            <w:vMerge/>
            <w:shd w:val="clear" w:color="auto" w:fill="E2EFD9" w:themeFill="accent6" w:themeFillTint="33"/>
          </w:tcPr>
          <w:p w14:paraId="7EAE8DC2" w14:textId="77777777" w:rsidR="00A05244" w:rsidRPr="00A05244" w:rsidRDefault="00A05244" w:rsidP="00A05244">
            <w:pPr>
              <w:adjustRightInd w:val="0"/>
              <w:snapToGrid w:val="0"/>
              <w:spacing w:line="260" w:lineRule="atLeast"/>
              <w:jc w:val="both"/>
              <w:rPr>
                <w:rFonts w:ascii="Palatino Linotype" w:eastAsia="Times New Roman" w:hAnsi="Palatino Linotype"/>
                <w:b/>
                <w:snapToGrid w:val="0"/>
                <w:color w:val="000000"/>
                <w:sz w:val="18"/>
                <w:lang w:val="en-US" w:eastAsia="de-DE" w:bidi="en-US"/>
              </w:rPr>
            </w:pPr>
          </w:p>
        </w:tc>
        <w:tc>
          <w:tcPr>
            <w:tcW w:w="2353" w:type="dxa"/>
            <w:shd w:val="clear" w:color="auto" w:fill="E2EFD9" w:themeFill="accent6" w:themeFillTint="33"/>
          </w:tcPr>
          <w:p w14:paraId="09814F34"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Freshwater Eutrophication Potential</w:t>
            </w:r>
          </w:p>
        </w:tc>
        <w:tc>
          <w:tcPr>
            <w:tcW w:w="1424" w:type="dxa"/>
            <w:shd w:val="clear" w:color="auto" w:fill="E2EFD9" w:themeFill="accent6" w:themeFillTint="33"/>
          </w:tcPr>
          <w:p w14:paraId="40C83DF4" w14:textId="0748D6E4" w:rsidR="00A05244" w:rsidRPr="00A05244" w:rsidRDefault="000D2BF0" w:rsidP="00A05244">
            <w:pPr>
              <w:adjustRightInd w:val="0"/>
              <w:snapToGrid w:val="0"/>
              <w:spacing w:line="260" w:lineRule="atLeast"/>
              <w:rPr>
                <w:rFonts w:ascii="Palatino Linotype" w:eastAsia="Times New Roman" w:hAnsi="Palatino Linotype"/>
                <w:snapToGrid w:val="0"/>
                <w:color w:val="000000"/>
                <w:sz w:val="18"/>
                <w:lang w:val="en-US" w:eastAsia="de-DE" w:bidi="en-US"/>
              </w:rPr>
            </w:pPr>
            <w:r>
              <w:rPr>
                <w:rFonts w:ascii="Palatino Linotype" w:eastAsia="Times New Roman" w:hAnsi="Palatino Linotype"/>
                <w:snapToGrid w:val="0"/>
                <w:color w:val="000000"/>
                <w:sz w:val="18"/>
                <w:lang w:val="en-US" w:eastAsia="de-DE" w:bidi="en-US"/>
              </w:rPr>
              <w:t>k</w:t>
            </w:r>
            <w:r w:rsidR="00A05244" w:rsidRPr="00A05244">
              <w:rPr>
                <w:rFonts w:ascii="Palatino Linotype" w:eastAsia="Times New Roman" w:hAnsi="Palatino Linotype"/>
                <w:snapToGrid w:val="0"/>
                <w:color w:val="000000"/>
                <w:sz w:val="18"/>
                <w:lang w:val="en-US" w:eastAsia="de-DE" w:bidi="en-US"/>
              </w:rPr>
              <w:t>g P eq.</w:t>
            </w:r>
          </w:p>
        </w:tc>
        <w:tc>
          <w:tcPr>
            <w:tcW w:w="1898" w:type="dxa"/>
            <w:shd w:val="clear" w:color="auto" w:fill="E2EFD9" w:themeFill="accent6" w:themeFillTint="33"/>
          </w:tcPr>
          <w:p w14:paraId="5CFD9F18"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65162.71</w:t>
            </w:r>
          </w:p>
        </w:tc>
        <w:tc>
          <w:tcPr>
            <w:tcW w:w="1474" w:type="dxa"/>
            <w:shd w:val="clear" w:color="auto" w:fill="E2EFD9" w:themeFill="accent6" w:themeFillTint="33"/>
          </w:tcPr>
          <w:p w14:paraId="08CD3350"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0.56</w:t>
            </w:r>
          </w:p>
        </w:tc>
      </w:tr>
      <w:tr w:rsidR="00A05244" w:rsidRPr="00A05244" w14:paraId="48F66F85" w14:textId="77777777" w:rsidTr="00A05244">
        <w:tc>
          <w:tcPr>
            <w:tcW w:w="1446" w:type="dxa"/>
            <w:vMerge/>
          </w:tcPr>
          <w:p w14:paraId="13EEC46F" w14:textId="77777777" w:rsidR="00A05244" w:rsidRPr="00A05244" w:rsidRDefault="00A05244" w:rsidP="00A05244">
            <w:pPr>
              <w:adjustRightInd w:val="0"/>
              <w:snapToGrid w:val="0"/>
              <w:spacing w:line="260" w:lineRule="atLeast"/>
              <w:jc w:val="both"/>
              <w:rPr>
                <w:rFonts w:ascii="Palatino Linotype" w:eastAsia="Times New Roman" w:hAnsi="Palatino Linotype"/>
                <w:b/>
                <w:snapToGrid w:val="0"/>
                <w:color w:val="000000"/>
                <w:sz w:val="18"/>
                <w:lang w:val="en-US" w:eastAsia="de-DE" w:bidi="en-US"/>
              </w:rPr>
            </w:pPr>
          </w:p>
        </w:tc>
        <w:tc>
          <w:tcPr>
            <w:tcW w:w="2353" w:type="dxa"/>
            <w:shd w:val="clear" w:color="auto" w:fill="E2EFD9" w:themeFill="accent6" w:themeFillTint="33"/>
          </w:tcPr>
          <w:p w14:paraId="49F2994F"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Ecotoxicity Potential</w:t>
            </w:r>
          </w:p>
        </w:tc>
        <w:tc>
          <w:tcPr>
            <w:tcW w:w="1424" w:type="dxa"/>
            <w:shd w:val="clear" w:color="auto" w:fill="E2EFD9" w:themeFill="accent6" w:themeFillTint="33"/>
          </w:tcPr>
          <w:p w14:paraId="7AF0545F"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proofErr w:type="spellStart"/>
            <w:r w:rsidRPr="00A05244">
              <w:rPr>
                <w:rFonts w:ascii="Palatino Linotype" w:eastAsia="Times New Roman" w:hAnsi="Palatino Linotype"/>
                <w:snapToGrid w:val="0"/>
                <w:color w:val="000000"/>
                <w:sz w:val="18"/>
                <w:lang w:val="en-US" w:eastAsia="de-DE" w:bidi="en-US"/>
              </w:rPr>
              <w:t>CTUe</w:t>
            </w:r>
            <w:proofErr w:type="spellEnd"/>
          </w:p>
        </w:tc>
        <w:tc>
          <w:tcPr>
            <w:tcW w:w="1898" w:type="dxa"/>
            <w:shd w:val="clear" w:color="auto" w:fill="E2EFD9" w:themeFill="accent6" w:themeFillTint="33"/>
          </w:tcPr>
          <w:p w14:paraId="70E1B732"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1119875985.67</w:t>
            </w:r>
          </w:p>
        </w:tc>
        <w:tc>
          <w:tcPr>
            <w:tcW w:w="1474" w:type="dxa"/>
            <w:shd w:val="clear" w:color="auto" w:fill="E2EFD9" w:themeFill="accent6" w:themeFillTint="33"/>
          </w:tcPr>
          <w:p w14:paraId="1E3DEE94"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43500</w:t>
            </w:r>
          </w:p>
        </w:tc>
      </w:tr>
      <w:tr w:rsidR="00A05244" w:rsidRPr="00A05244" w14:paraId="743D1F57" w14:textId="77777777" w:rsidTr="00A05244">
        <w:tc>
          <w:tcPr>
            <w:tcW w:w="1446" w:type="dxa"/>
            <w:vMerge w:val="restart"/>
            <w:shd w:val="clear" w:color="auto" w:fill="FBE4D5" w:themeFill="accent2" w:themeFillTint="33"/>
          </w:tcPr>
          <w:p w14:paraId="31210D4C" w14:textId="77777777" w:rsidR="00A05244" w:rsidRPr="00A05244" w:rsidRDefault="00A05244" w:rsidP="00A05244">
            <w:pPr>
              <w:adjustRightInd w:val="0"/>
              <w:snapToGrid w:val="0"/>
              <w:spacing w:line="260" w:lineRule="atLeast"/>
              <w:jc w:val="both"/>
              <w:rPr>
                <w:rFonts w:ascii="Palatino Linotype" w:eastAsia="Times New Roman" w:hAnsi="Palatino Linotype"/>
                <w:b/>
                <w:snapToGrid w:val="0"/>
                <w:color w:val="000000"/>
                <w:sz w:val="18"/>
                <w:lang w:val="en-US" w:eastAsia="de-DE" w:bidi="en-US"/>
              </w:rPr>
            </w:pPr>
            <w:r w:rsidRPr="00A05244">
              <w:rPr>
                <w:rFonts w:ascii="Palatino Linotype" w:eastAsia="Times New Roman" w:hAnsi="Palatino Linotype"/>
                <w:b/>
                <w:snapToGrid w:val="0"/>
                <w:color w:val="000000"/>
                <w:sz w:val="18"/>
                <w:lang w:val="en-US" w:eastAsia="de-DE" w:bidi="en-US"/>
              </w:rPr>
              <w:t>Social</w:t>
            </w:r>
          </w:p>
        </w:tc>
        <w:tc>
          <w:tcPr>
            <w:tcW w:w="2353" w:type="dxa"/>
            <w:shd w:val="clear" w:color="auto" w:fill="FBE4D5" w:themeFill="accent2" w:themeFillTint="33"/>
          </w:tcPr>
          <w:p w14:paraId="5C07D721"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Social Acceptability</w:t>
            </w:r>
          </w:p>
        </w:tc>
        <w:tc>
          <w:tcPr>
            <w:tcW w:w="1424" w:type="dxa"/>
            <w:shd w:val="clear" w:color="auto" w:fill="FBE4D5" w:themeFill="accent2" w:themeFillTint="33"/>
          </w:tcPr>
          <w:p w14:paraId="33D4E182"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w:t>
            </w:r>
          </w:p>
        </w:tc>
        <w:tc>
          <w:tcPr>
            <w:tcW w:w="1898" w:type="dxa"/>
            <w:shd w:val="clear" w:color="auto" w:fill="FBE4D5" w:themeFill="accent2" w:themeFillTint="33"/>
          </w:tcPr>
          <w:p w14:paraId="08DC0DE0"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w:t>
            </w:r>
          </w:p>
        </w:tc>
        <w:tc>
          <w:tcPr>
            <w:tcW w:w="1474" w:type="dxa"/>
            <w:shd w:val="clear" w:color="auto" w:fill="FBE4D5" w:themeFill="accent2" w:themeFillTint="33"/>
          </w:tcPr>
          <w:p w14:paraId="7D0CEF16"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w:t>
            </w:r>
          </w:p>
        </w:tc>
      </w:tr>
      <w:tr w:rsidR="00A05244" w:rsidRPr="00A05244" w14:paraId="014E4EB8" w14:textId="77777777" w:rsidTr="00A05244">
        <w:tc>
          <w:tcPr>
            <w:tcW w:w="1446" w:type="dxa"/>
            <w:vMerge/>
            <w:shd w:val="clear" w:color="auto" w:fill="FBE4D5" w:themeFill="accent2" w:themeFillTint="33"/>
          </w:tcPr>
          <w:p w14:paraId="67E852A6" w14:textId="77777777" w:rsidR="00A05244" w:rsidRPr="00A05244" w:rsidRDefault="00A05244" w:rsidP="00A05244">
            <w:pPr>
              <w:adjustRightInd w:val="0"/>
              <w:snapToGrid w:val="0"/>
              <w:spacing w:line="260" w:lineRule="atLeast"/>
              <w:jc w:val="both"/>
              <w:rPr>
                <w:rFonts w:ascii="Palatino Linotype" w:eastAsia="Times New Roman" w:hAnsi="Palatino Linotype"/>
                <w:b/>
                <w:snapToGrid w:val="0"/>
                <w:color w:val="000000"/>
                <w:sz w:val="18"/>
                <w:lang w:val="en-US" w:eastAsia="de-DE" w:bidi="en-US"/>
              </w:rPr>
            </w:pPr>
          </w:p>
        </w:tc>
        <w:tc>
          <w:tcPr>
            <w:tcW w:w="2353" w:type="dxa"/>
            <w:shd w:val="clear" w:color="auto" w:fill="FBE4D5" w:themeFill="accent2" w:themeFillTint="33"/>
          </w:tcPr>
          <w:p w14:paraId="56B7A8DC"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Odor Generation</w:t>
            </w:r>
          </w:p>
        </w:tc>
        <w:tc>
          <w:tcPr>
            <w:tcW w:w="1424" w:type="dxa"/>
            <w:shd w:val="clear" w:color="auto" w:fill="FBE4D5" w:themeFill="accent2" w:themeFillTint="33"/>
          </w:tcPr>
          <w:p w14:paraId="5ED5D1BE"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w:t>
            </w:r>
          </w:p>
        </w:tc>
        <w:tc>
          <w:tcPr>
            <w:tcW w:w="1898" w:type="dxa"/>
            <w:shd w:val="clear" w:color="auto" w:fill="FBE4D5" w:themeFill="accent2" w:themeFillTint="33"/>
          </w:tcPr>
          <w:p w14:paraId="4BDC4D59"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w:t>
            </w:r>
          </w:p>
        </w:tc>
        <w:tc>
          <w:tcPr>
            <w:tcW w:w="1474" w:type="dxa"/>
            <w:shd w:val="clear" w:color="auto" w:fill="FBE4D5" w:themeFill="accent2" w:themeFillTint="33"/>
          </w:tcPr>
          <w:p w14:paraId="5D903BAD"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w:t>
            </w:r>
          </w:p>
        </w:tc>
      </w:tr>
      <w:tr w:rsidR="00A05244" w:rsidRPr="00A05244" w14:paraId="02FD4619" w14:textId="77777777" w:rsidTr="00A05244">
        <w:tc>
          <w:tcPr>
            <w:tcW w:w="1446" w:type="dxa"/>
            <w:vMerge/>
            <w:shd w:val="clear" w:color="auto" w:fill="FBE4D5" w:themeFill="accent2" w:themeFillTint="33"/>
          </w:tcPr>
          <w:p w14:paraId="342E876A" w14:textId="77777777" w:rsidR="00A05244" w:rsidRPr="00A05244" w:rsidRDefault="00A05244" w:rsidP="00A05244">
            <w:pPr>
              <w:adjustRightInd w:val="0"/>
              <w:snapToGrid w:val="0"/>
              <w:spacing w:line="260" w:lineRule="atLeast"/>
              <w:jc w:val="both"/>
              <w:rPr>
                <w:rFonts w:ascii="Palatino Linotype" w:eastAsia="Times New Roman" w:hAnsi="Palatino Linotype"/>
                <w:b/>
                <w:snapToGrid w:val="0"/>
                <w:color w:val="000000"/>
                <w:sz w:val="18"/>
                <w:lang w:val="en-US" w:eastAsia="de-DE" w:bidi="en-US"/>
              </w:rPr>
            </w:pPr>
          </w:p>
        </w:tc>
        <w:tc>
          <w:tcPr>
            <w:tcW w:w="2353" w:type="dxa"/>
            <w:shd w:val="clear" w:color="auto" w:fill="FBE4D5" w:themeFill="accent2" w:themeFillTint="33"/>
          </w:tcPr>
          <w:p w14:paraId="780DCB8A"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Noise Creation</w:t>
            </w:r>
          </w:p>
        </w:tc>
        <w:tc>
          <w:tcPr>
            <w:tcW w:w="1424" w:type="dxa"/>
            <w:shd w:val="clear" w:color="auto" w:fill="FBE4D5" w:themeFill="accent2" w:themeFillTint="33"/>
          </w:tcPr>
          <w:p w14:paraId="44467743"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dB within 15 m</w:t>
            </w:r>
          </w:p>
        </w:tc>
        <w:tc>
          <w:tcPr>
            <w:tcW w:w="1898" w:type="dxa"/>
            <w:shd w:val="clear" w:color="auto" w:fill="FBE4D5" w:themeFill="accent2" w:themeFillTint="33"/>
          </w:tcPr>
          <w:p w14:paraId="5E5A2CD0"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90</w:t>
            </w:r>
          </w:p>
        </w:tc>
        <w:tc>
          <w:tcPr>
            <w:tcW w:w="1474" w:type="dxa"/>
            <w:shd w:val="clear" w:color="auto" w:fill="FBE4D5" w:themeFill="accent2" w:themeFillTint="33"/>
          </w:tcPr>
          <w:p w14:paraId="447621D8"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75</w:t>
            </w:r>
          </w:p>
        </w:tc>
      </w:tr>
      <w:tr w:rsidR="00A05244" w:rsidRPr="00A05244" w14:paraId="6CDB27D9" w14:textId="77777777" w:rsidTr="00A05244">
        <w:tc>
          <w:tcPr>
            <w:tcW w:w="1446" w:type="dxa"/>
            <w:vMerge/>
            <w:shd w:val="clear" w:color="auto" w:fill="FBE4D5" w:themeFill="accent2" w:themeFillTint="33"/>
          </w:tcPr>
          <w:p w14:paraId="4976CC67" w14:textId="77777777" w:rsidR="00A05244" w:rsidRPr="00A05244" w:rsidRDefault="00A05244" w:rsidP="00A05244">
            <w:pPr>
              <w:adjustRightInd w:val="0"/>
              <w:snapToGrid w:val="0"/>
              <w:spacing w:line="260" w:lineRule="atLeast"/>
              <w:jc w:val="both"/>
              <w:rPr>
                <w:rFonts w:ascii="Palatino Linotype" w:eastAsia="Times New Roman" w:hAnsi="Palatino Linotype"/>
                <w:b/>
                <w:snapToGrid w:val="0"/>
                <w:color w:val="000000"/>
                <w:sz w:val="18"/>
                <w:lang w:val="en-US" w:eastAsia="de-DE" w:bidi="en-US"/>
              </w:rPr>
            </w:pPr>
          </w:p>
        </w:tc>
        <w:tc>
          <w:tcPr>
            <w:tcW w:w="2353" w:type="dxa"/>
            <w:shd w:val="clear" w:color="auto" w:fill="FBE4D5" w:themeFill="accent2" w:themeFillTint="33"/>
          </w:tcPr>
          <w:p w14:paraId="6D8C6269"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Job Creation</w:t>
            </w:r>
          </w:p>
        </w:tc>
        <w:tc>
          <w:tcPr>
            <w:tcW w:w="1424" w:type="dxa"/>
            <w:shd w:val="clear" w:color="auto" w:fill="FBE4D5" w:themeFill="accent2" w:themeFillTint="33"/>
          </w:tcPr>
          <w:p w14:paraId="3DA84291"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Total jobs created</w:t>
            </w:r>
          </w:p>
        </w:tc>
        <w:tc>
          <w:tcPr>
            <w:tcW w:w="1898" w:type="dxa"/>
            <w:shd w:val="clear" w:color="auto" w:fill="FBE4D5" w:themeFill="accent2" w:themeFillTint="33"/>
          </w:tcPr>
          <w:p w14:paraId="7B0E8838"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4</w:t>
            </w:r>
          </w:p>
        </w:tc>
        <w:tc>
          <w:tcPr>
            <w:tcW w:w="1474" w:type="dxa"/>
            <w:shd w:val="clear" w:color="auto" w:fill="FBE4D5" w:themeFill="accent2" w:themeFillTint="33"/>
          </w:tcPr>
          <w:p w14:paraId="778CBA7C"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0</w:t>
            </w:r>
          </w:p>
        </w:tc>
      </w:tr>
      <w:tr w:rsidR="00A05244" w:rsidRPr="00A05244" w14:paraId="690AF901" w14:textId="77777777" w:rsidTr="00A05244">
        <w:tc>
          <w:tcPr>
            <w:tcW w:w="1446" w:type="dxa"/>
            <w:vMerge/>
            <w:shd w:val="clear" w:color="auto" w:fill="FBE4D5" w:themeFill="accent2" w:themeFillTint="33"/>
          </w:tcPr>
          <w:p w14:paraId="2E9492F7" w14:textId="77777777" w:rsidR="00A05244" w:rsidRPr="00A05244" w:rsidRDefault="00A05244" w:rsidP="00A05244">
            <w:pPr>
              <w:adjustRightInd w:val="0"/>
              <w:snapToGrid w:val="0"/>
              <w:spacing w:line="260" w:lineRule="atLeast"/>
              <w:jc w:val="both"/>
              <w:rPr>
                <w:rFonts w:ascii="Palatino Linotype" w:eastAsia="Times New Roman" w:hAnsi="Palatino Linotype"/>
                <w:b/>
                <w:snapToGrid w:val="0"/>
                <w:color w:val="000000"/>
                <w:sz w:val="18"/>
                <w:lang w:val="en-US" w:eastAsia="de-DE" w:bidi="en-US"/>
              </w:rPr>
            </w:pPr>
          </w:p>
        </w:tc>
        <w:tc>
          <w:tcPr>
            <w:tcW w:w="2353" w:type="dxa"/>
            <w:shd w:val="clear" w:color="auto" w:fill="FBE4D5" w:themeFill="accent2" w:themeFillTint="33"/>
          </w:tcPr>
          <w:p w14:paraId="14D6CD33"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Traffic</w:t>
            </w:r>
          </w:p>
        </w:tc>
        <w:tc>
          <w:tcPr>
            <w:tcW w:w="1424" w:type="dxa"/>
            <w:shd w:val="clear" w:color="auto" w:fill="FBE4D5" w:themeFill="accent2" w:themeFillTint="33"/>
          </w:tcPr>
          <w:p w14:paraId="0F8ACB3D"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No. of vehicles</w:t>
            </w:r>
          </w:p>
        </w:tc>
        <w:tc>
          <w:tcPr>
            <w:tcW w:w="1898" w:type="dxa"/>
            <w:shd w:val="clear" w:color="auto" w:fill="FBE4D5" w:themeFill="accent2" w:themeFillTint="33"/>
          </w:tcPr>
          <w:p w14:paraId="5AA38EFE"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6.5</w:t>
            </w:r>
          </w:p>
        </w:tc>
        <w:tc>
          <w:tcPr>
            <w:tcW w:w="1474" w:type="dxa"/>
            <w:shd w:val="clear" w:color="auto" w:fill="FBE4D5" w:themeFill="accent2" w:themeFillTint="33"/>
          </w:tcPr>
          <w:p w14:paraId="4FB18A14"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131</w:t>
            </w:r>
          </w:p>
        </w:tc>
      </w:tr>
      <w:tr w:rsidR="00A05244" w:rsidRPr="00A05244" w14:paraId="5CAD798E" w14:textId="77777777" w:rsidTr="00A05244">
        <w:tc>
          <w:tcPr>
            <w:tcW w:w="1446" w:type="dxa"/>
            <w:vMerge w:val="restart"/>
            <w:shd w:val="clear" w:color="auto" w:fill="DEEAF6" w:themeFill="accent5" w:themeFillTint="33"/>
          </w:tcPr>
          <w:p w14:paraId="64FF901A" w14:textId="77777777" w:rsidR="00A05244" w:rsidRPr="00A05244" w:rsidRDefault="00A05244" w:rsidP="00A05244">
            <w:pPr>
              <w:adjustRightInd w:val="0"/>
              <w:snapToGrid w:val="0"/>
              <w:spacing w:line="260" w:lineRule="atLeast"/>
              <w:jc w:val="both"/>
              <w:rPr>
                <w:rFonts w:ascii="Palatino Linotype" w:eastAsia="Times New Roman" w:hAnsi="Palatino Linotype"/>
                <w:b/>
                <w:snapToGrid w:val="0"/>
                <w:color w:val="000000"/>
                <w:sz w:val="18"/>
                <w:lang w:val="en-US" w:eastAsia="de-DE" w:bidi="en-US"/>
              </w:rPr>
            </w:pPr>
            <w:r w:rsidRPr="00A05244">
              <w:rPr>
                <w:rFonts w:ascii="Palatino Linotype" w:eastAsia="Times New Roman" w:hAnsi="Palatino Linotype"/>
                <w:b/>
                <w:snapToGrid w:val="0"/>
                <w:color w:val="000000"/>
                <w:sz w:val="18"/>
                <w:lang w:val="en-US" w:eastAsia="de-DE" w:bidi="en-US"/>
              </w:rPr>
              <w:t>Technological Maturity</w:t>
            </w:r>
          </w:p>
        </w:tc>
        <w:tc>
          <w:tcPr>
            <w:tcW w:w="2353" w:type="dxa"/>
            <w:shd w:val="clear" w:color="auto" w:fill="DEEAF6" w:themeFill="accent5" w:themeFillTint="33"/>
          </w:tcPr>
          <w:p w14:paraId="3B480F23"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Technology Readiness</w:t>
            </w:r>
          </w:p>
        </w:tc>
        <w:tc>
          <w:tcPr>
            <w:tcW w:w="1424" w:type="dxa"/>
            <w:shd w:val="clear" w:color="auto" w:fill="DEEAF6" w:themeFill="accent5" w:themeFillTint="33"/>
          </w:tcPr>
          <w:p w14:paraId="56797573"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TRL Scale (1-9)</w:t>
            </w:r>
          </w:p>
        </w:tc>
        <w:tc>
          <w:tcPr>
            <w:tcW w:w="1898" w:type="dxa"/>
            <w:shd w:val="clear" w:color="auto" w:fill="DEEAF6" w:themeFill="accent5" w:themeFillTint="33"/>
          </w:tcPr>
          <w:p w14:paraId="0C9B9E6A"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4</w:t>
            </w:r>
          </w:p>
        </w:tc>
        <w:tc>
          <w:tcPr>
            <w:tcW w:w="1474" w:type="dxa"/>
            <w:shd w:val="clear" w:color="auto" w:fill="DEEAF6" w:themeFill="accent5" w:themeFillTint="33"/>
          </w:tcPr>
          <w:p w14:paraId="4918EF9F"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9</w:t>
            </w:r>
          </w:p>
        </w:tc>
      </w:tr>
      <w:tr w:rsidR="00A05244" w:rsidRPr="00A05244" w14:paraId="07A528C5" w14:textId="77777777" w:rsidTr="00A05244">
        <w:tc>
          <w:tcPr>
            <w:tcW w:w="1446" w:type="dxa"/>
            <w:vMerge/>
            <w:shd w:val="clear" w:color="auto" w:fill="DEEAF6" w:themeFill="accent5" w:themeFillTint="33"/>
          </w:tcPr>
          <w:p w14:paraId="061D31C7" w14:textId="77777777" w:rsidR="00A05244" w:rsidRPr="00A05244" w:rsidRDefault="00A05244" w:rsidP="00A05244">
            <w:pPr>
              <w:adjustRightInd w:val="0"/>
              <w:snapToGrid w:val="0"/>
              <w:spacing w:line="260" w:lineRule="atLeast"/>
              <w:jc w:val="both"/>
              <w:rPr>
                <w:rFonts w:ascii="Palatino Linotype" w:eastAsia="Times New Roman" w:hAnsi="Palatino Linotype"/>
                <w:b/>
                <w:snapToGrid w:val="0"/>
                <w:color w:val="000000"/>
                <w:sz w:val="18"/>
                <w:lang w:val="en-US" w:eastAsia="de-DE" w:bidi="en-US"/>
              </w:rPr>
            </w:pPr>
          </w:p>
        </w:tc>
        <w:tc>
          <w:tcPr>
            <w:tcW w:w="2353" w:type="dxa"/>
            <w:shd w:val="clear" w:color="auto" w:fill="DEEAF6" w:themeFill="accent5" w:themeFillTint="33"/>
          </w:tcPr>
          <w:p w14:paraId="290B5611"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Integration Readiness</w:t>
            </w:r>
          </w:p>
        </w:tc>
        <w:tc>
          <w:tcPr>
            <w:tcW w:w="1424" w:type="dxa"/>
            <w:shd w:val="clear" w:color="auto" w:fill="DEEAF6" w:themeFill="accent5" w:themeFillTint="33"/>
          </w:tcPr>
          <w:p w14:paraId="32F19B8D"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IRL Scale (1-7)</w:t>
            </w:r>
          </w:p>
        </w:tc>
        <w:tc>
          <w:tcPr>
            <w:tcW w:w="1898" w:type="dxa"/>
            <w:shd w:val="clear" w:color="auto" w:fill="DEEAF6" w:themeFill="accent5" w:themeFillTint="33"/>
          </w:tcPr>
          <w:p w14:paraId="79E92DBC"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6</w:t>
            </w:r>
          </w:p>
        </w:tc>
        <w:tc>
          <w:tcPr>
            <w:tcW w:w="1474" w:type="dxa"/>
            <w:shd w:val="clear" w:color="auto" w:fill="DEEAF6" w:themeFill="accent5" w:themeFillTint="33"/>
          </w:tcPr>
          <w:p w14:paraId="018C8A60"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7</w:t>
            </w:r>
          </w:p>
        </w:tc>
      </w:tr>
      <w:tr w:rsidR="00A05244" w:rsidRPr="00A05244" w14:paraId="61BBD426" w14:textId="77777777" w:rsidTr="00A05244">
        <w:tc>
          <w:tcPr>
            <w:tcW w:w="1446" w:type="dxa"/>
            <w:vMerge/>
            <w:shd w:val="clear" w:color="auto" w:fill="DEEAF6" w:themeFill="accent5" w:themeFillTint="33"/>
          </w:tcPr>
          <w:p w14:paraId="6619C144" w14:textId="77777777" w:rsidR="00A05244" w:rsidRPr="00A05244" w:rsidRDefault="00A05244" w:rsidP="00A05244">
            <w:pPr>
              <w:adjustRightInd w:val="0"/>
              <w:snapToGrid w:val="0"/>
              <w:spacing w:line="260" w:lineRule="atLeast"/>
              <w:jc w:val="both"/>
              <w:rPr>
                <w:rFonts w:ascii="Palatino Linotype" w:eastAsia="Times New Roman" w:hAnsi="Palatino Linotype"/>
                <w:b/>
                <w:snapToGrid w:val="0"/>
                <w:color w:val="000000"/>
                <w:sz w:val="18"/>
                <w:lang w:val="en-US" w:eastAsia="de-DE" w:bidi="en-US"/>
              </w:rPr>
            </w:pPr>
          </w:p>
        </w:tc>
        <w:tc>
          <w:tcPr>
            <w:tcW w:w="2353" w:type="dxa"/>
            <w:shd w:val="clear" w:color="auto" w:fill="DEEAF6" w:themeFill="accent5" w:themeFillTint="33"/>
          </w:tcPr>
          <w:p w14:paraId="05183FC9"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Demand Readiness</w:t>
            </w:r>
          </w:p>
        </w:tc>
        <w:tc>
          <w:tcPr>
            <w:tcW w:w="1424" w:type="dxa"/>
            <w:shd w:val="clear" w:color="auto" w:fill="DEEAF6" w:themeFill="accent5" w:themeFillTint="33"/>
          </w:tcPr>
          <w:p w14:paraId="0E53B75F"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DRL Scale (1-7)</w:t>
            </w:r>
          </w:p>
        </w:tc>
        <w:tc>
          <w:tcPr>
            <w:tcW w:w="1898" w:type="dxa"/>
            <w:shd w:val="clear" w:color="auto" w:fill="DEEAF6" w:themeFill="accent5" w:themeFillTint="33"/>
          </w:tcPr>
          <w:p w14:paraId="3CAE7793"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9</w:t>
            </w:r>
          </w:p>
        </w:tc>
        <w:tc>
          <w:tcPr>
            <w:tcW w:w="1474" w:type="dxa"/>
            <w:shd w:val="clear" w:color="auto" w:fill="DEEAF6" w:themeFill="accent5" w:themeFillTint="33"/>
          </w:tcPr>
          <w:p w14:paraId="0C2E27DC"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9</w:t>
            </w:r>
          </w:p>
        </w:tc>
      </w:tr>
      <w:tr w:rsidR="00A05244" w:rsidRPr="00A05244" w14:paraId="1739A3C7" w14:textId="77777777" w:rsidTr="00A05244">
        <w:tc>
          <w:tcPr>
            <w:tcW w:w="1446" w:type="dxa"/>
            <w:vMerge w:val="restart"/>
            <w:shd w:val="clear" w:color="auto" w:fill="FFC000"/>
          </w:tcPr>
          <w:p w14:paraId="7DC69C9A" w14:textId="77777777" w:rsidR="00A05244" w:rsidRPr="00A05244" w:rsidRDefault="00A05244" w:rsidP="00A05244">
            <w:pPr>
              <w:adjustRightInd w:val="0"/>
              <w:snapToGrid w:val="0"/>
              <w:spacing w:line="260" w:lineRule="atLeast"/>
              <w:jc w:val="both"/>
              <w:rPr>
                <w:rFonts w:ascii="Palatino Linotype" w:eastAsia="Times New Roman" w:hAnsi="Palatino Linotype"/>
                <w:b/>
                <w:snapToGrid w:val="0"/>
                <w:color w:val="000000"/>
                <w:sz w:val="18"/>
                <w:lang w:val="en-US" w:eastAsia="de-DE" w:bidi="en-US"/>
              </w:rPr>
            </w:pPr>
            <w:r w:rsidRPr="00A05244">
              <w:rPr>
                <w:rFonts w:ascii="Palatino Linotype" w:eastAsia="Times New Roman" w:hAnsi="Palatino Linotype"/>
                <w:b/>
                <w:snapToGrid w:val="0"/>
                <w:color w:val="000000"/>
                <w:sz w:val="18"/>
                <w:lang w:val="en-US" w:eastAsia="de-DE" w:bidi="en-US"/>
              </w:rPr>
              <w:t>Alignment with Company Goals</w:t>
            </w:r>
          </w:p>
        </w:tc>
        <w:tc>
          <w:tcPr>
            <w:tcW w:w="2353" w:type="dxa"/>
            <w:shd w:val="clear" w:color="auto" w:fill="FFC000"/>
          </w:tcPr>
          <w:p w14:paraId="4772C83D"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Strategy Fit</w:t>
            </w:r>
          </w:p>
        </w:tc>
        <w:tc>
          <w:tcPr>
            <w:tcW w:w="1424" w:type="dxa"/>
            <w:shd w:val="clear" w:color="auto" w:fill="FFC000"/>
          </w:tcPr>
          <w:p w14:paraId="1978B596"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Likert Scale (1-5)</w:t>
            </w:r>
          </w:p>
        </w:tc>
        <w:tc>
          <w:tcPr>
            <w:tcW w:w="1898" w:type="dxa"/>
            <w:shd w:val="clear" w:color="auto" w:fill="FFC000"/>
          </w:tcPr>
          <w:p w14:paraId="46DB04C6"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4</w:t>
            </w:r>
          </w:p>
        </w:tc>
        <w:tc>
          <w:tcPr>
            <w:tcW w:w="1474" w:type="dxa"/>
            <w:shd w:val="clear" w:color="auto" w:fill="FFC000"/>
          </w:tcPr>
          <w:p w14:paraId="5B52EC21"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2</w:t>
            </w:r>
          </w:p>
        </w:tc>
      </w:tr>
      <w:tr w:rsidR="00A05244" w:rsidRPr="00A05244" w14:paraId="052D8591" w14:textId="77777777" w:rsidTr="00A05244">
        <w:tc>
          <w:tcPr>
            <w:tcW w:w="1446" w:type="dxa"/>
            <w:vMerge/>
            <w:shd w:val="clear" w:color="auto" w:fill="FFC000"/>
          </w:tcPr>
          <w:p w14:paraId="194CD174"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p>
        </w:tc>
        <w:tc>
          <w:tcPr>
            <w:tcW w:w="2353" w:type="dxa"/>
            <w:shd w:val="clear" w:color="auto" w:fill="FFC000"/>
          </w:tcPr>
          <w:p w14:paraId="330BFF8C"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Brand Fit</w:t>
            </w:r>
          </w:p>
        </w:tc>
        <w:tc>
          <w:tcPr>
            <w:tcW w:w="1424" w:type="dxa"/>
            <w:shd w:val="clear" w:color="auto" w:fill="FFC000"/>
          </w:tcPr>
          <w:p w14:paraId="6E575E5F"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Likert Scale (1-5)</w:t>
            </w:r>
          </w:p>
        </w:tc>
        <w:tc>
          <w:tcPr>
            <w:tcW w:w="1898" w:type="dxa"/>
            <w:shd w:val="clear" w:color="auto" w:fill="FFC000"/>
          </w:tcPr>
          <w:p w14:paraId="28CC4B6A"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4</w:t>
            </w:r>
          </w:p>
        </w:tc>
        <w:tc>
          <w:tcPr>
            <w:tcW w:w="1474" w:type="dxa"/>
            <w:shd w:val="clear" w:color="auto" w:fill="FFC000"/>
          </w:tcPr>
          <w:p w14:paraId="4075E05F"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3</w:t>
            </w:r>
          </w:p>
        </w:tc>
      </w:tr>
      <w:tr w:rsidR="00A05244" w:rsidRPr="00A05244" w14:paraId="59E98047" w14:textId="77777777" w:rsidTr="00A05244">
        <w:tc>
          <w:tcPr>
            <w:tcW w:w="1446" w:type="dxa"/>
            <w:vMerge/>
            <w:shd w:val="clear" w:color="auto" w:fill="FFC000"/>
          </w:tcPr>
          <w:p w14:paraId="3E69B21D"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p>
        </w:tc>
        <w:tc>
          <w:tcPr>
            <w:tcW w:w="2353" w:type="dxa"/>
            <w:shd w:val="clear" w:color="auto" w:fill="FFC000"/>
          </w:tcPr>
          <w:p w14:paraId="77E2E357"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Expertise Fit</w:t>
            </w:r>
          </w:p>
        </w:tc>
        <w:tc>
          <w:tcPr>
            <w:tcW w:w="1424" w:type="dxa"/>
            <w:shd w:val="clear" w:color="auto" w:fill="FFC000"/>
          </w:tcPr>
          <w:p w14:paraId="56387485"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Likert Scale (1-5)</w:t>
            </w:r>
          </w:p>
        </w:tc>
        <w:tc>
          <w:tcPr>
            <w:tcW w:w="1898" w:type="dxa"/>
            <w:shd w:val="clear" w:color="auto" w:fill="FFC000"/>
          </w:tcPr>
          <w:p w14:paraId="4EDAEC28"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2</w:t>
            </w:r>
          </w:p>
        </w:tc>
        <w:tc>
          <w:tcPr>
            <w:tcW w:w="1474" w:type="dxa"/>
            <w:shd w:val="clear" w:color="auto" w:fill="FFC000"/>
          </w:tcPr>
          <w:p w14:paraId="3FA28C34" w14:textId="77777777" w:rsidR="00A05244" w:rsidRPr="00A05244" w:rsidRDefault="00A05244" w:rsidP="00A05244">
            <w:pPr>
              <w:adjustRightInd w:val="0"/>
              <w:snapToGrid w:val="0"/>
              <w:spacing w:line="260" w:lineRule="atLeast"/>
              <w:jc w:val="both"/>
              <w:rPr>
                <w:rFonts w:ascii="Palatino Linotype" w:eastAsia="Times New Roman" w:hAnsi="Palatino Linotype"/>
                <w:snapToGrid w:val="0"/>
                <w:color w:val="000000"/>
                <w:sz w:val="18"/>
                <w:lang w:val="en-US" w:eastAsia="de-DE" w:bidi="en-US"/>
              </w:rPr>
            </w:pPr>
            <w:r w:rsidRPr="00A05244">
              <w:rPr>
                <w:rFonts w:ascii="Palatino Linotype" w:eastAsia="Times New Roman" w:hAnsi="Palatino Linotype"/>
                <w:snapToGrid w:val="0"/>
                <w:color w:val="000000"/>
                <w:sz w:val="18"/>
                <w:lang w:val="en-US" w:eastAsia="de-DE" w:bidi="en-US"/>
              </w:rPr>
              <w:t>5</w:t>
            </w:r>
          </w:p>
        </w:tc>
      </w:tr>
    </w:tbl>
    <w:p w14:paraId="751DDF8A" w14:textId="77777777" w:rsidR="00A05244" w:rsidRPr="00BE3E84" w:rsidRDefault="00A05244" w:rsidP="00BE3E84">
      <w:pPr>
        <w:spacing w:after="0"/>
        <w:ind w:left="454"/>
        <w:rPr>
          <w:rFonts w:ascii="Palatino Linotype" w:hAnsi="Palatino Linotype"/>
          <w:sz w:val="20"/>
          <w:lang w:bidi="en-US"/>
        </w:rPr>
      </w:pPr>
    </w:p>
    <w:p w14:paraId="7AB629FF" w14:textId="50468577" w:rsidR="00A05244" w:rsidRPr="00BE3E84" w:rsidRDefault="00A05244" w:rsidP="00BE3E84">
      <w:pPr>
        <w:spacing w:after="0"/>
        <w:ind w:left="454"/>
        <w:rPr>
          <w:rFonts w:ascii="Palatino Linotype" w:hAnsi="Palatino Linotype"/>
          <w:sz w:val="20"/>
          <w:lang w:bidi="en-US"/>
        </w:rPr>
      </w:pPr>
      <w:r w:rsidRPr="00BE3E84">
        <w:rPr>
          <w:rFonts w:ascii="Palatino Linotype" w:hAnsi="Palatino Linotype"/>
          <w:sz w:val="20"/>
          <w:lang w:bidi="en-US"/>
        </w:rPr>
        <w:t>In this way, impacts for MAPE concerned those related to the on-site pectin extraction process and transport to the consumer. Impacts related to the production of citrus fruit and transport to CF were not included as they would have been borne as part of CFs normal operations regardless of how the waste is valorised. Likewise, for the wholesale scenario, impacts related to the transport of fruit to consumers and the actual sale of the fruit were considered (i.e. financial and social value).</w:t>
      </w:r>
    </w:p>
    <w:p w14:paraId="55616705" w14:textId="77777777" w:rsidR="00A05244" w:rsidRPr="00BE3E84" w:rsidRDefault="00A05244" w:rsidP="00BE3E84">
      <w:pPr>
        <w:spacing w:after="0"/>
        <w:ind w:left="454"/>
        <w:rPr>
          <w:rFonts w:ascii="Palatino Linotype" w:hAnsi="Palatino Linotype"/>
          <w:sz w:val="20"/>
          <w:lang w:bidi="en-US"/>
        </w:rPr>
      </w:pPr>
    </w:p>
    <w:p w14:paraId="07D471EA" w14:textId="1A8CE1D7" w:rsidR="00653EF1" w:rsidRPr="00BE3E84" w:rsidRDefault="001D315E" w:rsidP="00BE3E84">
      <w:pPr>
        <w:spacing w:after="0"/>
        <w:ind w:left="454"/>
        <w:rPr>
          <w:rFonts w:ascii="Palatino Linotype" w:hAnsi="Palatino Linotype"/>
          <w:sz w:val="20"/>
          <w:lang w:bidi="en-US"/>
        </w:rPr>
      </w:pPr>
      <w:r w:rsidRPr="00BE3E84">
        <w:rPr>
          <w:rFonts w:ascii="Palatino Linotype" w:hAnsi="Palatino Linotype"/>
          <w:sz w:val="20"/>
          <w:lang w:bidi="en-US"/>
        </w:rPr>
        <w:t xml:space="preserve">The units for each of the criteria are listed in Table 2 and for all indicators, the functional unit </w:t>
      </w:r>
      <w:r w:rsidRPr="00AB625C">
        <w:rPr>
          <w:rFonts w:ascii="Palatino Linotype" w:hAnsi="Palatino Linotype"/>
          <w:sz w:val="20"/>
          <w:lang w:bidi="en-US"/>
        </w:rPr>
        <w:t xml:space="preserve">was the impact per </w:t>
      </w:r>
      <w:r w:rsidR="00AB625C" w:rsidRPr="00AB625C">
        <w:rPr>
          <w:rFonts w:ascii="Palatino Linotype" w:hAnsi="Palatino Linotype"/>
          <w:sz w:val="20"/>
          <w:lang w:bidi="en-US"/>
        </w:rPr>
        <w:t xml:space="preserve">3,459,967 kg </w:t>
      </w:r>
      <w:r w:rsidRPr="00AB625C">
        <w:rPr>
          <w:rFonts w:ascii="Palatino Linotype" w:hAnsi="Palatino Linotype"/>
          <w:sz w:val="20"/>
          <w:lang w:bidi="en-US"/>
        </w:rPr>
        <w:t xml:space="preserve">of citrus waste </w:t>
      </w:r>
      <w:r w:rsidR="00322233">
        <w:rPr>
          <w:rFonts w:ascii="Palatino Linotype" w:hAnsi="Palatino Linotype"/>
          <w:sz w:val="20"/>
          <w:lang w:bidi="en-US"/>
        </w:rPr>
        <w:t>managed</w:t>
      </w:r>
      <w:r w:rsidR="00322233" w:rsidRPr="00322233">
        <w:rPr>
          <w:rFonts w:ascii="Palatino Linotype" w:hAnsi="Palatino Linotype"/>
          <w:sz w:val="20"/>
          <w:lang w:bidi="en-US"/>
        </w:rPr>
        <w:t>, which is the quantity of 2nd class citrus waste generated by CF in a year</w:t>
      </w:r>
      <w:r w:rsidRPr="00AB625C">
        <w:rPr>
          <w:rFonts w:ascii="Palatino Linotype" w:hAnsi="Palatino Linotype"/>
          <w:sz w:val="20"/>
          <w:lang w:bidi="en-US"/>
        </w:rPr>
        <w:t>. Some of the indicators could be</w:t>
      </w:r>
      <w:r w:rsidRPr="00BE3E84">
        <w:rPr>
          <w:rFonts w:ascii="Palatino Linotype" w:hAnsi="Palatino Linotype"/>
          <w:sz w:val="20"/>
          <w:lang w:bidi="en-US"/>
        </w:rPr>
        <w:t xml:space="preserve"> measured directly, for example, all economic costs and benefits, environmental impacts and some social impacts such as noise creation, job creation and traffic generation. However,</w:t>
      </w:r>
      <w:r w:rsidR="00653EF1" w:rsidRPr="00BE3E84">
        <w:rPr>
          <w:rFonts w:ascii="Palatino Linotype" w:hAnsi="Palatino Linotype"/>
          <w:sz w:val="20"/>
          <w:lang w:bidi="en-US"/>
        </w:rPr>
        <w:t xml:space="preserve"> for certain criteria, such as odor generation, social acceptability, technology readiness level and company fit, objective measurement per unit of waste valorised is likely infeasible. In such cases, sub-criteria scoring takes the form of a position on an appropriate scale for the entire valorisation process. For example, noise and odor are scored using ++ for the most positive and + for the least. Technology readiness levels are scored using established technological, integration and demand readiness levels respectively (see Hjorth and </w:t>
      </w:r>
      <w:proofErr w:type="spellStart"/>
      <w:r w:rsidR="00653EF1" w:rsidRPr="00BE3E84">
        <w:rPr>
          <w:rFonts w:ascii="Palatino Linotype" w:hAnsi="Palatino Linotype"/>
          <w:sz w:val="20"/>
          <w:lang w:bidi="en-US"/>
        </w:rPr>
        <w:t>Brem</w:t>
      </w:r>
      <w:proofErr w:type="spellEnd"/>
      <w:r w:rsidR="00653EF1" w:rsidRPr="00BE3E84">
        <w:rPr>
          <w:rFonts w:ascii="Palatino Linotype" w:hAnsi="Palatino Linotype"/>
          <w:sz w:val="20"/>
          <w:lang w:bidi="en-US"/>
        </w:rPr>
        <w:t xml:space="preserve"> 2016 </w:t>
      </w:r>
      <w:r w:rsidR="00653EF1" w:rsidRPr="00BE3E84">
        <w:rPr>
          <w:rFonts w:ascii="Palatino Linotype" w:hAnsi="Palatino Linotype"/>
          <w:sz w:val="20"/>
          <w:lang w:bidi="en-US"/>
        </w:rPr>
        <w:fldChar w:fldCharType="begin" w:fldLock="1"/>
      </w:r>
      <w:r w:rsidR="009C589A" w:rsidRPr="00BE3E84">
        <w:rPr>
          <w:rFonts w:ascii="Palatino Linotype" w:hAnsi="Palatino Linotype"/>
          <w:sz w:val="20"/>
          <w:lang w:bidi="en-US"/>
        </w:rPr>
        <w:instrText>ADDIN CSL_CITATION {"citationItems":[{"id":"ITEM-1","itemData":{"author":[{"dropping-particle":"","family":"Hjorth","given":"S Solberg","non-dropping-particle":"","parse-names":false,"suffix":""},{"dropping-particle":"","family":"Sustainability","given":"A Brem -","non-dropping-particle":"","parse-names":false,"suffix":""},{"dropping-particle":"","family":"2016","given":"undefined","non-dropping-particle":"","parse-names":false,"suffix":""}],"container-title":"mdpi.com","id":"ITEM-1","issued":{"date-parts":[["0"]]},"title":"How to assess market readiness for an innovative solution: the case of heat recovery technologies for SMEs","type":"article-journal"},"uris":["http://www.mendeley.com/documents/?uuid=e0bc435e-0735-3314-9ee1-e1b1ac0c0355"]}],"mendeley":{"formattedCitation":"[2]","plainTextFormattedCitation":"[2]","previouslyFormattedCitation":"[2]"},"properties":{"noteIndex":0},"schema":"https://github.com/citation-style-language/schema/raw/master/csl-citation.json"}</w:instrText>
      </w:r>
      <w:r w:rsidR="00653EF1" w:rsidRPr="00BE3E84">
        <w:rPr>
          <w:rFonts w:ascii="Palatino Linotype" w:hAnsi="Palatino Linotype"/>
          <w:sz w:val="20"/>
          <w:lang w:bidi="en-US"/>
        </w:rPr>
        <w:fldChar w:fldCharType="separate"/>
      </w:r>
      <w:r w:rsidR="00760D1C" w:rsidRPr="00BE3E84">
        <w:rPr>
          <w:rFonts w:ascii="Palatino Linotype" w:hAnsi="Palatino Linotype"/>
          <w:noProof/>
          <w:sz w:val="20"/>
          <w:lang w:bidi="en-US"/>
        </w:rPr>
        <w:t>[2]</w:t>
      </w:r>
      <w:r w:rsidR="00653EF1" w:rsidRPr="00BE3E84">
        <w:rPr>
          <w:rFonts w:ascii="Palatino Linotype" w:hAnsi="Palatino Linotype"/>
          <w:sz w:val="20"/>
          <w:lang w:bidi="en-US"/>
        </w:rPr>
        <w:fldChar w:fldCharType="end"/>
      </w:r>
      <w:r w:rsidR="00653EF1" w:rsidRPr="00BE3E84">
        <w:rPr>
          <w:rFonts w:ascii="Palatino Linotype" w:hAnsi="Palatino Linotype"/>
          <w:sz w:val="20"/>
          <w:lang w:bidi="en-US"/>
        </w:rPr>
        <w:t xml:space="preserve">). Company fit indicators are assessed on a </w:t>
      </w:r>
      <w:proofErr w:type="spellStart"/>
      <w:r w:rsidR="00653EF1" w:rsidRPr="00BE3E84">
        <w:rPr>
          <w:rFonts w:ascii="Palatino Linotype" w:hAnsi="Palatino Linotype"/>
          <w:sz w:val="20"/>
          <w:lang w:bidi="en-US"/>
        </w:rPr>
        <w:t>likert</w:t>
      </w:r>
      <w:proofErr w:type="spellEnd"/>
      <w:r w:rsidR="00653EF1" w:rsidRPr="00BE3E84">
        <w:rPr>
          <w:rFonts w:ascii="Palatino Linotype" w:hAnsi="Palatino Linotype"/>
          <w:sz w:val="20"/>
          <w:lang w:bidi="en-US"/>
        </w:rPr>
        <w:t xml:space="preserve"> scale with 5 representing complete fit, 3 representing acceptable fit and 1 representing no </w:t>
      </w:r>
      <w:r w:rsidR="00653EF1" w:rsidRPr="00BE3E84">
        <w:rPr>
          <w:rFonts w:ascii="Palatino Linotype" w:hAnsi="Palatino Linotype"/>
          <w:sz w:val="20"/>
          <w:lang w:bidi="en-US"/>
        </w:rPr>
        <w:lastRenderedPageBreak/>
        <w:t xml:space="preserve">fit. </w:t>
      </w:r>
      <w:r w:rsidR="00715FC6" w:rsidRPr="00BE3E84">
        <w:rPr>
          <w:rFonts w:ascii="Palatino Linotype" w:hAnsi="Palatino Linotype"/>
          <w:sz w:val="20"/>
          <w:lang w:bidi="en-US"/>
        </w:rPr>
        <w:t xml:space="preserve">This </w:t>
      </w:r>
      <w:r w:rsidR="00F128E7" w:rsidRPr="00BE3E84">
        <w:rPr>
          <w:rFonts w:ascii="Palatino Linotype" w:hAnsi="Palatino Linotype"/>
          <w:sz w:val="20"/>
          <w:lang w:bidi="en-US"/>
        </w:rPr>
        <w:t>section will now work through the process of calculating each of the evaluation criteria listed in Table 2, beginning with the economic criteria.</w:t>
      </w:r>
    </w:p>
    <w:p w14:paraId="209B9D59" w14:textId="0CF02E76" w:rsidR="00932CE4" w:rsidRPr="00BE3E84" w:rsidRDefault="00932CE4" w:rsidP="00BE3E84">
      <w:pPr>
        <w:spacing w:after="0"/>
        <w:ind w:left="454"/>
        <w:rPr>
          <w:rFonts w:ascii="Palatino Linotype" w:hAnsi="Palatino Linotype"/>
          <w:sz w:val="20"/>
          <w:lang w:bidi="en-US"/>
        </w:rPr>
      </w:pPr>
    </w:p>
    <w:p w14:paraId="7937F30F" w14:textId="77777777" w:rsidR="009370EF" w:rsidRDefault="00932CE4" w:rsidP="00932CE4">
      <w:pPr>
        <w:spacing w:after="0"/>
        <w:ind w:left="454"/>
        <w:rPr>
          <w:rFonts w:ascii="Palatino Linotype" w:hAnsi="Palatino Linotype"/>
          <w:sz w:val="20"/>
          <w:lang w:bidi="en-US"/>
        </w:rPr>
      </w:pPr>
      <w:r w:rsidRPr="00BE3E84">
        <w:rPr>
          <w:rFonts w:ascii="Palatino Linotype" w:hAnsi="Palatino Linotype"/>
          <w:sz w:val="20"/>
          <w:lang w:bidi="en-US"/>
        </w:rPr>
        <w:t>The Net Present Values (NPV) for both wholesale marketing and the MAPE scenario were based on a detailed Cost-Benefit Analysis (CBA) of set-up and running costs associated using methodology outlined by Snell (2011)</w:t>
      </w:r>
      <w:r w:rsidR="00BE3E84">
        <w:rPr>
          <w:rFonts w:ascii="Palatino Linotype" w:hAnsi="Palatino Linotype"/>
          <w:sz w:val="20"/>
          <w:lang w:bidi="en-US"/>
        </w:rPr>
        <w:t xml:space="preserve"> </w:t>
      </w:r>
      <w:r w:rsidRPr="00BE3E84">
        <w:rPr>
          <w:rFonts w:ascii="Palatino Linotype" w:hAnsi="Palatino Linotype"/>
          <w:sz w:val="20"/>
          <w:lang w:bidi="en-US"/>
        </w:rPr>
        <w:fldChar w:fldCharType="begin" w:fldLock="1"/>
      </w:r>
      <w:r w:rsidR="009C589A" w:rsidRPr="00BE3E84">
        <w:rPr>
          <w:rFonts w:ascii="Palatino Linotype" w:hAnsi="Palatino Linotype"/>
          <w:sz w:val="20"/>
          <w:lang w:bidi="en-US"/>
        </w:rPr>
        <w:instrText>ADDIN CSL_CITATION {"citationItems":[{"id":"ITEM-1","itemData":{"DOI":"doi:10.1680/cba.41349","ISBN":"0-7277-4140-3","author":[{"dropping-particle":"","family":"Snell","given":"Michael","non-dropping-particle":"","parse-names":false,"suffix":""}],"id":"ITEM-1","issued":{"date-parts":[["2011","1","1"]]},"note":"doi:10.1680/cba.41349","number-of-pages":"-1","publisher":"Thomas Telford Ltd","title":"Cost-Benefit Analysis","type":"book"},"uris":["http://www.mendeley.com/documents/?uuid=42e18376-9107-46c0-a1e8-85b7ad291af6"]}],"mendeley":{"formattedCitation":"[3]","plainTextFormattedCitation":"[3]","previouslyFormattedCitation":"[3]"},"properties":{"noteIndex":0},"schema":"https://github.com/citation-style-language/schema/raw/master/csl-citation.json"}</w:instrText>
      </w:r>
      <w:r w:rsidRPr="00BE3E84">
        <w:rPr>
          <w:rFonts w:ascii="Palatino Linotype" w:hAnsi="Palatino Linotype"/>
          <w:sz w:val="20"/>
          <w:lang w:bidi="en-US"/>
        </w:rPr>
        <w:fldChar w:fldCharType="separate"/>
      </w:r>
      <w:r w:rsidRPr="00BE3E84">
        <w:rPr>
          <w:rFonts w:ascii="Palatino Linotype" w:hAnsi="Palatino Linotype"/>
          <w:noProof/>
          <w:sz w:val="20"/>
          <w:lang w:bidi="en-US"/>
        </w:rPr>
        <w:t>[3]</w:t>
      </w:r>
      <w:r w:rsidRPr="00BE3E84">
        <w:rPr>
          <w:rFonts w:ascii="Palatino Linotype" w:hAnsi="Palatino Linotype"/>
          <w:sz w:val="20"/>
          <w:lang w:bidi="en-US"/>
        </w:rPr>
        <w:fldChar w:fldCharType="end"/>
      </w:r>
      <w:r w:rsidRPr="00BE3E84">
        <w:rPr>
          <w:rFonts w:ascii="Palatino Linotype" w:hAnsi="Palatino Linotype"/>
          <w:sz w:val="20"/>
          <w:lang w:bidi="en-US"/>
        </w:rPr>
        <w:t xml:space="preserve">. The annual costs and profits were then discounted over a standard 20 year lifecycle, using a discount rate of 1.5% to reflect the Bank of England’s current long term interest rate as of September 2018 </w:t>
      </w:r>
      <w:r w:rsidRPr="00BE3E84">
        <w:rPr>
          <w:rFonts w:ascii="Palatino Linotype" w:hAnsi="Palatino Linotype"/>
          <w:sz w:val="20"/>
          <w:lang w:bidi="en-US"/>
        </w:rPr>
        <w:fldChar w:fldCharType="begin" w:fldLock="1"/>
      </w:r>
      <w:r w:rsidR="009C589A" w:rsidRPr="00BE3E84">
        <w:rPr>
          <w:rFonts w:ascii="Palatino Linotype" w:hAnsi="Palatino Linotype"/>
          <w:sz w:val="20"/>
          <w:lang w:bidi="en-US"/>
        </w:rPr>
        <w:instrText>ADDIN CSL_CITATION {"citationItems":[{"id":"ITEM-1","itemData":{"URL":"https://data.oecd.org/interest/long-term-interest-rates.htm","author":[{"dropping-particle":"","family":"OECD","given":"","non-dropping-particle":"","parse-names":false,"suffix":""}],"id":"ITEM-1","issued":{"date-parts":[["2018"]]},"title":"Long-term Interest Rates","type":"webpage"},"uris":["http://www.mendeley.com/documents/?uuid=357c3923-2aba-4985-8a45-4682e75df915"]}],"mendeley":{"formattedCitation":"[4]","plainTextFormattedCitation":"[4]","previouslyFormattedCitation":"[4]"},"properties":{"noteIndex":0},"schema":"https://github.com/citation-style-language/schema/raw/master/csl-citation.json"}</w:instrText>
      </w:r>
      <w:r w:rsidRPr="00BE3E84">
        <w:rPr>
          <w:rFonts w:ascii="Palatino Linotype" w:hAnsi="Palatino Linotype"/>
          <w:sz w:val="20"/>
          <w:lang w:bidi="en-US"/>
        </w:rPr>
        <w:fldChar w:fldCharType="separate"/>
      </w:r>
      <w:r w:rsidRPr="00BE3E84">
        <w:rPr>
          <w:rFonts w:ascii="Palatino Linotype" w:hAnsi="Palatino Linotype"/>
          <w:noProof/>
          <w:sz w:val="20"/>
          <w:lang w:bidi="en-US"/>
        </w:rPr>
        <w:t>[4]</w:t>
      </w:r>
      <w:r w:rsidRPr="00BE3E84">
        <w:rPr>
          <w:rFonts w:ascii="Palatino Linotype" w:hAnsi="Palatino Linotype"/>
          <w:sz w:val="20"/>
          <w:lang w:bidi="en-US"/>
        </w:rPr>
        <w:fldChar w:fldCharType="end"/>
      </w:r>
      <w:r w:rsidRPr="00BE3E84">
        <w:rPr>
          <w:rFonts w:ascii="Palatino Linotype" w:hAnsi="Palatino Linotype"/>
          <w:sz w:val="20"/>
          <w:lang w:bidi="en-US"/>
        </w:rPr>
        <w:t xml:space="preserve">. </w:t>
      </w:r>
      <w:r w:rsidR="00F128E7" w:rsidRPr="00BE3E84">
        <w:rPr>
          <w:rFonts w:ascii="Palatino Linotype" w:hAnsi="Palatino Linotype"/>
          <w:sz w:val="20"/>
          <w:lang w:bidi="en-US"/>
        </w:rPr>
        <w:t>The costs and benefits used to calculate the NPV for each valorisation scenario are presented in Table 3</w:t>
      </w:r>
      <w:r w:rsidRPr="00BE3E84">
        <w:rPr>
          <w:rFonts w:ascii="Palatino Linotype" w:hAnsi="Palatino Linotype"/>
          <w:sz w:val="20"/>
          <w:lang w:bidi="en-US"/>
        </w:rPr>
        <w:t>. CF identified that for the current wholesale scenario, they were not liable for any additional set-up, running or end of life costs (beyond which were already performed as part of day-to-day activities) and so the reported NPV is purely based on profit received for the sale of 2</w:t>
      </w:r>
      <w:r w:rsidRPr="00D83AB7">
        <w:rPr>
          <w:rFonts w:ascii="Palatino Linotype" w:hAnsi="Palatino Linotype"/>
          <w:sz w:val="20"/>
          <w:vertAlign w:val="superscript"/>
          <w:lang w:bidi="en-US"/>
        </w:rPr>
        <w:t>nd</w:t>
      </w:r>
      <w:r w:rsidR="00D83AB7">
        <w:rPr>
          <w:rFonts w:ascii="Palatino Linotype" w:hAnsi="Palatino Linotype"/>
          <w:sz w:val="20"/>
          <w:lang w:bidi="en-US"/>
        </w:rPr>
        <w:t xml:space="preserve"> </w:t>
      </w:r>
      <w:r w:rsidRPr="00BE3E84">
        <w:rPr>
          <w:rFonts w:ascii="Palatino Linotype" w:hAnsi="Palatino Linotype"/>
          <w:sz w:val="20"/>
          <w:lang w:bidi="en-US"/>
        </w:rPr>
        <w:t>class produce.</w:t>
      </w:r>
      <w:r w:rsidR="00F128E7" w:rsidRPr="00BE3E84">
        <w:rPr>
          <w:rFonts w:ascii="Palatino Linotype" w:hAnsi="Palatino Linotype"/>
          <w:sz w:val="20"/>
          <w:lang w:bidi="en-US"/>
        </w:rPr>
        <w:t xml:space="preserve"> This was calculated based upon the average of prices received in the financial year 2016-2017 which was 35p per kg of 2</w:t>
      </w:r>
      <w:r w:rsidR="00F128E7" w:rsidRPr="00D83AB7">
        <w:rPr>
          <w:rFonts w:ascii="Palatino Linotype" w:hAnsi="Palatino Linotype"/>
          <w:sz w:val="20"/>
          <w:vertAlign w:val="superscript"/>
          <w:lang w:bidi="en-US"/>
        </w:rPr>
        <w:t>nd</w:t>
      </w:r>
      <w:r w:rsidR="00D83AB7">
        <w:rPr>
          <w:rFonts w:ascii="Palatino Linotype" w:hAnsi="Palatino Linotype"/>
          <w:sz w:val="20"/>
          <w:lang w:bidi="en-US"/>
        </w:rPr>
        <w:t xml:space="preserve"> </w:t>
      </w:r>
      <w:r w:rsidR="00F128E7" w:rsidRPr="00BE3E84">
        <w:rPr>
          <w:rFonts w:ascii="Palatino Linotype" w:hAnsi="Palatino Linotype"/>
          <w:sz w:val="20"/>
          <w:lang w:bidi="en-US"/>
        </w:rPr>
        <w:t>class waste.</w:t>
      </w:r>
      <w:r w:rsidR="009370EF" w:rsidRPr="009370EF">
        <w:rPr>
          <w:rFonts w:ascii="Palatino Linotype" w:hAnsi="Palatino Linotype"/>
          <w:sz w:val="20"/>
          <w:lang w:bidi="en-US"/>
        </w:rPr>
        <w:t xml:space="preserve"> </w:t>
      </w:r>
    </w:p>
    <w:p w14:paraId="7B9803D3" w14:textId="77777777" w:rsidR="009370EF" w:rsidRDefault="009370EF" w:rsidP="00932CE4">
      <w:pPr>
        <w:spacing w:after="0"/>
        <w:ind w:left="454"/>
        <w:rPr>
          <w:rFonts w:ascii="Palatino Linotype" w:hAnsi="Palatino Linotype"/>
          <w:sz w:val="20"/>
          <w:lang w:bidi="en-US"/>
        </w:rPr>
      </w:pPr>
    </w:p>
    <w:p w14:paraId="7F212197" w14:textId="72748826" w:rsidR="00932CE4" w:rsidRDefault="009370EF" w:rsidP="00932CE4">
      <w:pPr>
        <w:spacing w:after="0"/>
        <w:ind w:left="454"/>
        <w:rPr>
          <w:rFonts w:ascii="Palatino Linotype" w:hAnsi="Palatino Linotype"/>
          <w:sz w:val="20"/>
          <w:lang w:bidi="en-US"/>
        </w:rPr>
      </w:pPr>
      <w:r w:rsidRPr="00BE3E84">
        <w:rPr>
          <w:rFonts w:ascii="Palatino Linotype" w:hAnsi="Palatino Linotype"/>
          <w:sz w:val="20"/>
          <w:lang w:bidi="en-US"/>
        </w:rPr>
        <w:t xml:space="preserve">For the MAPE scenario however, CF would be liable for a range of equipment costs in year 1 and substantial running cost in subsequent years. Returns on pectin generated from the MAPE process were based upon the current average global pectin value of $15 per kg </w:t>
      </w:r>
      <w:r w:rsidRPr="00BE3E84">
        <w:rPr>
          <w:rFonts w:ascii="Palatino Linotype" w:hAnsi="Palatino Linotype"/>
          <w:sz w:val="20"/>
          <w:lang w:bidi="en-US"/>
        </w:rPr>
        <w:fldChar w:fldCharType="begin" w:fldLock="1"/>
      </w:r>
      <w:r w:rsidRPr="00BE3E84">
        <w:rPr>
          <w:rFonts w:ascii="Palatino Linotype" w:hAnsi="Palatino Linotype"/>
          <w:sz w:val="20"/>
          <w:lang w:bidi="en-US"/>
        </w:rPr>
        <w:instrText>ADDIN CSL_CITATION {"citationItems":[{"id":"ITEM-1","itemData":{"author":[{"dropping-particle":"","family":"Sharma","given":"K","non-dropping-particle":"","parse-names":false,"suffix":""},{"dropping-particle":"","family":"Mahato","given":"N","non-dropping-particle":"","parse-names":false,"suffix":""},{"dropping-particle":"","family":"Cho","given":"MH","non-dropping-particle":"","parse-names":false,"suffix":""},{"dropping-particle":"","family":"Nutrition","given":"YR Lee -","non-dropping-particle":"","parse-names":false,"suffix":""},{"dropping-particle":"","family":"2017","given":"undefined","non-dropping-particle":"","parse-names":false,"suffix":""}],"container-title":"nutritionjrnl.com","id":"ITEM-1","issued":{"date-parts":[["0"]]},"title":"Converting citrus wastes into value-added products: Economic and environmently friendly approaches","type":"article-journal"},"uris":["http://www.mendeley.com/documents/?uuid=57714dcd-3d4e-3e97-a210-f76863b49346"]}],"mendeley":{"formattedCitation":"[5]","plainTextFormattedCitation":"[5]","previouslyFormattedCitation":"[5]"},"properties":{"noteIndex":0},"schema":"https://github.com/citation-style-language/schema/raw/master/csl-citation.json"}</w:instrText>
      </w:r>
      <w:r w:rsidRPr="00BE3E84">
        <w:rPr>
          <w:rFonts w:ascii="Palatino Linotype" w:hAnsi="Palatino Linotype"/>
          <w:sz w:val="20"/>
          <w:lang w:bidi="en-US"/>
        </w:rPr>
        <w:fldChar w:fldCharType="separate"/>
      </w:r>
      <w:r w:rsidRPr="00BE3E84">
        <w:rPr>
          <w:rFonts w:ascii="Palatino Linotype" w:hAnsi="Palatino Linotype"/>
          <w:noProof/>
          <w:sz w:val="20"/>
          <w:lang w:bidi="en-US"/>
        </w:rPr>
        <w:t>[5]</w:t>
      </w:r>
      <w:r w:rsidRPr="00BE3E84">
        <w:rPr>
          <w:rFonts w:ascii="Palatino Linotype" w:hAnsi="Palatino Linotype"/>
          <w:sz w:val="20"/>
          <w:lang w:bidi="en-US"/>
        </w:rPr>
        <w:fldChar w:fldCharType="end"/>
      </w:r>
      <w:r w:rsidRPr="00BE3E84">
        <w:rPr>
          <w:rFonts w:ascii="Palatino Linotype" w:hAnsi="Palatino Linotype"/>
          <w:sz w:val="20"/>
          <w:lang w:bidi="en-US"/>
        </w:rPr>
        <w:t>. Costs were calculated based upon information provided by researchers at the University of York and are based upon the costs they encountered in the setup of their prototype MAPE process. In both scenarios, it was difficult to identify exact end-of-life costs. For the wholesale scenario, it is likely this process would continue beyond the 20-year cycle and for the MAPE scenario, it was anticipated that it would likely also continue, albeit with maintenance/replacement costs that were not captured in this case study because of the prototype nature of the existing system.</w:t>
      </w:r>
    </w:p>
    <w:p w14:paraId="3512A6E6" w14:textId="77777777" w:rsidR="00932CE4" w:rsidRDefault="00932CE4" w:rsidP="00932CE4">
      <w:pPr>
        <w:spacing w:after="0"/>
        <w:ind w:left="454"/>
        <w:rPr>
          <w:rFonts w:ascii="Palatino Linotype" w:hAnsi="Palatino Linotype"/>
          <w:sz w:val="20"/>
        </w:rPr>
      </w:pPr>
    </w:p>
    <w:p w14:paraId="2799A7F0" w14:textId="4933DDFB" w:rsidR="00932CE4" w:rsidRDefault="00932CE4" w:rsidP="00932CE4">
      <w:pPr>
        <w:spacing w:after="0"/>
        <w:ind w:left="454"/>
        <w:jc w:val="center"/>
        <w:rPr>
          <w:rFonts w:ascii="Palatino Linotype" w:hAnsi="Palatino Linotype"/>
          <w:sz w:val="20"/>
        </w:rPr>
      </w:pPr>
      <w:r>
        <w:rPr>
          <w:rFonts w:ascii="Palatino Linotype" w:eastAsia="Times New Roman" w:hAnsi="Palatino Linotype" w:cs="Times New Roman"/>
          <w:snapToGrid w:val="0"/>
          <w:color w:val="000000"/>
          <w:sz w:val="20"/>
          <w:lang w:val="en-US" w:eastAsia="de-DE" w:bidi="en-US"/>
        </w:rPr>
        <w:t xml:space="preserve">Table </w:t>
      </w:r>
      <w:r w:rsidR="001D315E">
        <w:rPr>
          <w:rFonts w:ascii="Palatino Linotype" w:eastAsia="Times New Roman" w:hAnsi="Palatino Linotype" w:cs="Times New Roman"/>
          <w:snapToGrid w:val="0"/>
          <w:color w:val="000000"/>
          <w:sz w:val="20"/>
          <w:lang w:val="en-US" w:eastAsia="de-DE" w:bidi="en-US"/>
        </w:rPr>
        <w:t>3</w:t>
      </w:r>
      <w:r>
        <w:rPr>
          <w:rFonts w:ascii="Palatino Linotype" w:eastAsia="Times New Roman" w:hAnsi="Palatino Linotype" w:cs="Times New Roman"/>
          <w:snapToGrid w:val="0"/>
          <w:color w:val="000000"/>
          <w:sz w:val="20"/>
          <w:lang w:val="en-US" w:eastAsia="de-DE" w:bidi="en-US"/>
        </w:rPr>
        <w:t>: Costs and benefits analysed to generate the NPV for each scenario.</w:t>
      </w:r>
    </w:p>
    <w:tbl>
      <w:tblPr>
        <w:tblStyle w:val="TableGrid1"/>
        <w:tblW w:w="0" w:type="auto"/>
        <w:tblInd w:w="-5" w:type="dxa"/>
        <w:tblLook w:val="04A0" w:firstRow="1" w:lastRow="0" w:firstColumn="1" w:lastColumn="0" w:noHBand="0" w:noVBand="1"/>
      </w:tblPr>
      <w:tblGrid>
        <w:gridCol w:w="1787"/>
        <w:gridCol w:w="3025"/>
        <w:gridCol w:w="1563"/>
        <w:gridCol w:w="1275"/>
        <w:gridCol w:w="1371"/>
      </w:tblGrid>
      <w:tr w:rsidR="00932CE4" w:rsidRPr="005005DE" w14:paraId="34EEF7B0" w14:textId="77777777" w:rsidTr="00F128E7">
        <w:tc>
          <w:tcPr>
            <w:tcW w:w="6375" w:type="dxa"/>
            <w:gridSpan w:val="3"/>
            <w:shd w:val="clear" w:color="auto" w:fill="E2EFD9" w:themeFill="accent6" w:themeFillTint="33"/>
          </w:tcPr>
          <w:p w14:paraId="4CCC689F" w14:textId="77777777" w:rsidR="00932CE4" w:rsidRPr="005005DE" w:rsidRDefault="00932CE4" w:rsidP="00780387">
            <w:pPr>
              <w:adjustRightInd w:val="0"/>
              <w:snapToGrid w:val="0"/>
              <w:jc w:val="both"/>
              <w:rPr>
                <w:rFonts w:ascii="Palatino Linotype" w:eastAsia="Times New Roman" w:hAnsi="Palatino Linotype"/>
                <w:snapToGrid w:val="0"/>
                <w:color w:val="000000"/>
                <w:sz w:val="18"/>
                <w:lang w:val="en-US" w:eastAsia="de-DE" w:bidi="en-US"/>
              </w:rPr>
            </w:pPr>
            <w:r w:rsidRPr="005005DE">
              <w:rPr>
                <w:rFonts w:ascii="Palatino Linotype" w:eastAsia="Times New Roman" w:hAnsi="Palatino Linotype"/>
                <w:snapToGrid w:val="0"/>
                <w:color w:val="000000"/>
                <w:sz w:val="18"/>
                <w:lang w:val="en-US" w:eastAsia="de-DE" w:bidi="en-US"/>
              </w:rPr>
              <w:t>MAPE Scenario</w:t>
            </w:r>
          </w:p>
        </w:tc>
        <w:tc>
          <w:tcPr>
            <w:tcW w:w="2646" w:type="dxa"/>
            <w:gridSpan w:val="2"/>
            <w:shd w:val="clear" w:color="auto" w:fill="D9E2F3" w:themeFill="accent1" w:themeFillTint="33"/>
          </w:tcPr>
          <w:p w14:paraId="58D66BB6" w14:textId="77777777" w:rsidR="00932CE4" w:rsidRPr="005005DE" w:rsidRDefault="00932CE4" w:rsidP="00780387">
            <w:pPr>
              <w:adjustRightInd w:val="0"/>
              <w:snapToGrid w:val="0"/>
              <w:jc w:val="both"/>
              <w:rPr>
                <w:rFonts w:ascii="Palatino Linotype" w:eastAsia="Times New Roman" w:hAnsi="Palatino Linotype"/>
                <w:snapToGrid w:val="0"/>
                <w:color w:val="000000"/>
                <w:sz w:val="18"/>
                <w:lang w:val="en-US" w:eastAsia="de-DE" w:bidi="en-US"/>
              </w:rPr>
            </w:pPr>
            <w:r w:rsidRPr="005005DE">
              <w:rPr>
                <w:rFonts w:ascii="Palatino Linotype" w:eastAsia="Times New Roman" w:hAnsi="Palatino Linotype"/>
                <w:snapToGrid w:val="0"/>
                <w:color w:val="000000"/>
                <w:sz w:val="18"/>
                <w:lang w:val="en-US" w:eastAsia="de-DE" w:bidi="en-US"/>
              </w:rPr>
              <w:t>Wholesale Scenario</w:t>
            </w:r>
          </w:p>
        </w:tc>
      </w:tr>
      <w:tr w:rsidR="00932CE4" w:rsidRPr="005005DE" w14:paraId="14C2EEEF" w14:textId="77777777" w:rsidTr="00F128E7">
        <w:tc>
          <w:tcPr>
            <w:tcW w:w="1787" w:type="dxa"/>
            <w:shd w:val="clear" w:color="auto" w:fill="E7E6E6" w:themeFill="background2"/>
          </w:tcPr>
          <w:p w14:paraId="4EA0FB38" w14:textId="77777777" w:rsidR="00932CE4" w:rsidRPr="005005DE" w:rsidRDefault="00932CE4" w:rsidP="00780387">
            <w:pPr>
              <w:adjustRightInd w:val="0"/>
              <w:snapToGrid w:val="0"/>
              <w:jc w:val="both"/>
              <w:rPr>
                <w:rFonts w:ascii="Palatino Linotype" w:eastAsia="Times New Roman" w:hAnsi="Palatino Linotype"/>
                <w:snapToGrid w:val="0"/>
                <w:color w:val="000000"/>
                <w:sz w:val="18"/>
                <w:lang w:val="en-US" w:eastAsia="de-DE" w:bidi="en-US"/>
              </w:rPr>
            </w:pPr>
            <w:r w:rsidRPr="005005DE">
              <w:rPr>
                <w:rFonts w:ascii="Palatino Linotype" w:eastAsia="Times New Roman" w:hAnsi="Palatino Linotype"/>
                <w:snapToGrid w:val="0"/>
                <w:color w:val="000000"/>
                <w:sz w:val="18"/>
                <w:lang w:val="en-US" w:eastAsia="de-DE" w:bidi="en-US"/>
              </w:rPr>
              <w:t>Project Stage</w:t>
            </w:r>
          </w:p>
        </w:tc>
        <w:tc>
          <w:tcPr>
            <w:tcW w:w="3025" w:type="dxa"/>
            <w:shd w:val="clear" w:color="auto" w:fill="E2EFD9" w:themeFill="accent6" w:themeFillTint="33"/>
          </w:tcPr>
          <w:p w14:paraId="10D27CD9" w14:textId="509F330B" w:rsidR="00932CE4" w:rsidRPr="005005DE" w:rsidRDefault="00932CE4" w:rsidP="00780387">
            <w:pPr>
              <w:adjustRightInd w:val="0"/>
              <w:snapToGrid w:val="0"/>
              <w:jc w:val="both"/>
              <w:rPr>
                <w:rFonts w:ascii="Palatino Linotype" w:eastAsia="Times New Roman" w:hAnsi="Palatino Linotype"/>
                <w:snapToGrid w:val="0"/>
                <w:color w:val="000000"/>
                <w:sz w:val="18"/>
                <w:lang w:val="en-US" w:eastAsia="de-DE" w:bidi="en-US"/>
              </w:rPr>
            </w:pPr>
            <w:r w:rsidRPr="005005DE">
              <w:rPr>
                <w:rFonts w:ascii="Palatino Linotype" w:eastAsia="Times New Roman" w:hAnsi="Palatino Linotype"/>
                <w:snapToGrid w:val="0"/>
                <w:color w:val="000000"/>
                <w:sz w:val="18"/>
                <w:lang w:val="en-US" w:eastAsia="de-DE" w:bidi="en-US"/>
              </w:rPr>
              <w:t>Cost</w:t>
            </w:r>
            <w:r w:rsidR="001D315E">
              <w:rPr>
                <w:rFonts w:ascii="Palatino Linotype" w:eastAsia="Times New Roman" w:hAnsi="Palatino Linotype"/>
                <w:snapToGrid w:val="0"/>
                <w:color w:val="000000"/>
                <w:sz w:val="18"/>
                <w:lang w:val="en-US" w:eastAsia="de-DE" w:bidi="en-US"/>
              </w:rPr>
              <w:t xml:space="preserve"> Sources</w:t>
            </w:r>
          </w:p>
        </w:tc>
        <w:tc>
          <w:tcPr>
            <w:tcW w:w="1563" w:type="dxa"/>
            <w:shd w:val="clear" w:color="auto" w:fill="E2EFD9" w:themeFill="accent6" w:themeFillTint="33"/>
          </w:tcPr>
          <w:p w14:paraId="760C3AB7" w14:textId="537B9175" w:rsidR="00932CE4" w:rsidRPr="005005DE" w:rsidRDefault="00932CE4" w:rsidP="00780387">
            <w:pPr>
              <w:adjustRightInd w:val="0"/>
              <w:snapToGrid w:val="0"/>
              <w:jc w:val="both"/>
              <w:rPr>
                <w:rFonts w:ascii="Palatino Linotype" w:eastAsia="Times New Roman" w:hAnsi="Palatino Linotype"/>
                <w:snapToGrid w:val="0"/>
                <w:color w:val="000000"/>
                <w:sz w:val="18"/>
                <w:lang w:val="en-US" w:eastAsia="de-DE" w:bidi="en-US"/>
              </w:rPr>
            </w:pPr>
            <w:r w:rsidRPr="005005DE">
              <w:rPr>
                <w:rFonts w:ascii="Palatino Linotype" w:eastAsia="Times New Roman" w:hAnsi="Palatino Linotype"/>
                <w:snapToGrid w:val="0"/>
                <w:color w:val="000000"/>
                <w:sz w:val="18"/>
                <w:lang w:val="en-US" w:eastAsia="de-DE" w:bidi="en-US"/>
              </w:rPr>
              <w:t>Benefit</w:t>
            </w:r>
            <w:r w:rsidR="001D315E">
              <w:rPr>
                <w:rFonts w:ascii="Palatino Linotype" w:eastAsia="Times New Roman" w:hAnsi="Palatino Linotype"/>
                <w:snapToGrid w:val="0"/>
                <w:color w:val="000000"/>
                <w:sz w:val="18"/>
                <w:lang w:val="en-US" w:eastAsia="de-DE" w:bidi="en-US"/>
              </w:rPr>
              <w:t xml:space="preserve"> Sources</w:t>
            </w:r>
          </w:p>
        </w:tc>
        <w:tc>
          <w:tcPr>
            <w:tcW w:w="1275" w:type="dxa"/>
            <w:shd w:val="clear" w:color="auto" w:fill="D9E2F3" w:themeFill="accent1" w:themeFillTint="33"/>
          </w:tcPr>
          <w:p w14:paraId="4E356CED" w14:textId="2869924C" w:rsidR="00932CE4" w:rsidRPr="005005DE" w:rsidRDefault="00932CE4" w:rsidP="00780387">
            <w:pPr>
              <w:adjustRightInd w:val="0"/>
              <w:snapToGrid w:val="0"/>
              <w:jc w:val="both"/>
              <w:rPr>
                <w:rFonts w:ascii="Palatino Linotype" w:eastAsia="Times New Roman" w:hAnsi="Palatino Linotype"/>
                <w:snapToGrid w:val="0"/>
                <w:color w:val="000000"/>
                <w:sz w:val="18"/>
                <w:lang w:val="en-US" w:eastAsia="de-DE" w:bidi="en-US"/>
              </w:rPr>
            </w:pPr>
            <w:r w:rsidRPr="005005DE">
              <w:rPr>
                <w:rFonts w:ascii="Palatino Linotype" w:eastAsia="Times New Roman" w:hAnsi="Palatino Linotype"/>
                <w:snapToGrid w:val="0"/>
                <w:color w:val="000000"/>
                <w:sz w:val="18"/>
                <w:lang w:val="en-US" w:eastAsia="de-DE" w:bidi="en-US"/>
              </w:rPr>
              <w:t>Cost</w:t>
            </w:r>
            <w:r w:rsidR="001D315E">
              <w:rPr>
                <w:rFonts w:ascii="Palatino Linotype" w:eastAsia="Times New Roman" w:hAnsi="Palatino Linotype"/>
                <w:snapToGrid w:val="0"/>
                <w:color w:val="000000"/>
                <w:sz w:val="18"/>
                <w:lang w:val="en-US" w:eastAsia="de-DE" w:bidi="en-US"/>
              </w:rPr>
              <w:t xml:space="preserve"> Sources</w:t>
            </w:r>
          </w:p>
        </w:tc>
        <w:tc>
          <w:tcPr>
            <w:tcW w:w="1371" w:type="dxa"/>
            <w:shd w:val="clear" w:color="auto" w:fill="D9E2F3" w:themeFill="accent1" w:themeFillTint="33"/>
          </w:tcPr>
          <w:p w14:paraId="72A0900B" w14:textId="6EF0F4A9" w:rsidR="00932CE4" w:rsidRPr="005005DE" w:rsidRDefault="00932CE4" w:rsidP="00780387">
            <w:pPr>
              <w:adjustRightInd w:val="0"/>
              <w:snapToGrid w:val="0"/>
              <w:jc w:val="both"/>
              <w:rPr>
                <w:rFonts w:ascii="Palatino Linotype" w:eastAsia="Times New Roman" w:hAnsi="Palatino Linotype"/>
                <w:snapToGrid w:val="0"/>
                <w:color w:val="000000"/>
                <w:sz w:val="18"/>
                <w:lang w:val="en-US" w:eastAsia="de-DE" w:bidi="en-US"/>
              </w:rPr>
            </w:pPr>
            <w:r w:rsidRPr="005005DE">
              <w:rPr>
                <w:rFonts w:ascii="Palatino Linotype" w:eastAsia="Times New Roman" w:hAnsi="Palatino Linotype"/>
                <w:snapToGrid w:val="0"/>
                <w:color w:val="000000"/>
                <w:sz w:val="18"/>
                <w:lang w:val="en-US" w:eastAsia="de-DE" w:bidi="en-US"/>
              </w:rPr>
              <w:t>Benefit</w:t>
            </w:r>
            <w:r w:rsidR="001D315E">
              <w:rPr>
                <w:rFonts w:ascii="Palatino Linotype" w:eastAsia="Times New Roman" w:hAnsi="Palatino Linotype"/>
                <w:snapToGrid w:val="0"/>
                <w:color w:val="000000"/>
                <w:sz w:val="18"/>
                <w:lang w:val="en-US" w:eastAsia="de-DE" w:bidi="en-US"/>
              </w:rPr>
              <w:t xml:space="preserve"> Sources</w:t>
            </w:r>
          </w:p>
        </w:tc>
      </w:tr>
      <w:tr w:rsidR="00932CE4" w:rsidRPr="005005DE" w14:paraId="1D5B1260" w14:textId="77777777" w:rsidTr="00F128E7">
        <w:tc>
          <w:tcPr>
            <w:tcW w:w="1787" w:type="dxa"/>
            <w:shd w:val="clear" w:color="auto" w:fill="E7E6E6" w:themeFill="background2"/>
          </w:tcPr>
          <w:p w14:paraId="155500E6" w14:textId="77777777" w:rsidR="00932CE4" w:rsidRPr="005005DE" w:rsidRDefault="00932CE4" w:rsidP="00780387">
            <w:pPr>
              <w:adjustRightInd w:val="0"/>
              <w:snapToGrid w:val="0"/>
              <w:jc w:val="both"/>
              <w:rPr>
                <w:rFonts w:ascii="Palatino Linotype" w:eastAsia="Times New Roman" w:hAnsi="Palatino Linotype"/>
                <w:snapToGrid w:val="0"/>
                <w:color w:val="000000"/>
                <w:sz w:val="18"/>
                <w:lang w:val="en-US" w:eastAsia="de-DE" w:bidi="en-US"/>
              </w:rPr>
            </w:pPr>
            <w:r w:rsidRPr="005005DE">
              <w:rPr>
                <w:rFonts w:ascii="Palatino Linotype" w:eastAsia="Times New Roman" w:hAnsi="Palatino Linotype"/>
                <w:snapToGrid w:val="0"/>
                <w:color w:val="000000"/>
                <w:sz w:val="18"/>
                <w:lang w:val="en-US" w:eastAsia="de-DE" w:bidi="en-US"/>
              </w:rPr>
              <w:t>Set-up (Year 0)</w:t>
            </w:r>
          </w:p>
        </w:tc>
        <w:tc>
          <w:tcPr>
            <w:tcW w:w="3025" w:type="dxa"/>
            <w:shd w:val="clear" w:color="auto" w:fill="E2EFD9" w:themeFill="accent6" w:themeFillTint="33"/>
          </w:tcPr>
          <w:p w14:paraId="79102243" w14:textId="35E313ED" w:rsidR="00932CE4" w:rsidRPr="005005DE" w:rsidRDefault="00932CE4" w:rsidP="00780387">
            <w:pPr>
              <w:adjustRightInd w:val="0"/>
              <w:snapToGrid w:val="0"/>
              <w:jc w:val="both"/>
              <w:rPr>
                <w:rFonts w:ascii="Palatino Linotype" w:eastAsia="Times New Roman" w:hAnsi="Palatino Linotype"/>
                <w:snapToGrid w:val="0"/>
                <w:color w:val="000000"/>
                <w:sz w:val="18"/>
                <w:lang w:val="en-US" w:eastAsia="de-DE" w:bidi="en-US"/>
              </w:rPr>
            </w:pPr>
            <w:r w:rsidRPr="005005DE">
              <w:rPr>
                <w:rFonts w:ascii="Palatino Linotype" w:eastAsia="Times New Roman" w:hAnsi="Palatino Linotype"/>
                <w:snapToGrid w:val="0"/>
                <w:color w:val="000000"/>
                <w:sz w:val="18"/>
                <w:lang w:val="en-US" w:eastAsia="de-DE" w:bidi="en-US"/>
              </w:rPr>
              <w:t>1. Orange Juicer</w:t>
            </w:r>
            <w:r w:rsidR="00715FC6">
              <w:rPr>
                <w:rFonts w:ascii="Palatino Linotype" w:eastAsia="Times New Roman" w:hAnsi="Palatino Linotype"/>
                <w:snapToGrid w:val="0"/>
                <w:color w:val="000000"/>
                <w:sz w:val="18"/>
                <w:lang w:val="en-US" w:eastAsia="de-DE" w:bidi="en-US"/>
              </w:rPr>
              <w:t xml:space="preserve"> (£780)</w:t>
            </w:r>
          </w:p>
          <w:p w14:paraId="7AFF52B5" w14:textId="4A0251F5" w:rsidR="00932CE4" w:rsidRPr="005005DE" w:rsidRDefault="00932CE4" w:rsidP="00780387">
            <w:pPr>
              <w:adjustRightInd w:val="0"/>
              <w:snapToGrid w:val="0"/>
              <w:jc w:val="both"/>
              <w:rPr>
                <w:rFonts w:ascii="Palatino Linotype" w:eastAsia="Times New Roman" w:hAnsi="Palatino Linotype"/>
                <w:snapToGrid w:val="0"/>
                <w:color w:val="000000"/>
                <w:sz w:val="18"/>
                <w:lang w:val="en-US" w:eastAsia="de-DE" w:bidi="en-US"/>
              </w:rPr>
            </w:pPr>
            <w:r w:rsidRPr="005005DE">
              <w:rPr>
                <w:rFonts w:ascii="Palatino Linotype" w:eastAsia="Times New Roman" w:hAnsi="Palatino Linotype"/>
                <w:snapToGrid w:val="0"/>
                <w:color w:val="000000"/>
                <w:sz w:val="18"/>
                <w:lang w:val="en-US" w:eastAsia="de-DE" w:bidi="en-US"/>
              </w:rPr>
              <w:t xml:space="preserve">2. Mill cost </w:t>
            </w:r>
            <w:r w:rsidR="00715FC6">
              <w:rPr>
                <w:rFonts w:ascii="Palatino Linotype" w:eastAsia="Times New Roman" w:hAnsi="Palatino Linotype"/>
                <w:snapToGrid w:val="0"/>
                <w:color w:val="000000"/>
                <w:sz w:val="18"/>
                <w:lang w:val="en-US" w:eastAsia="de-DE" w:bidi="en-US"/>
              </w:rPr>
              <w:t>(£5,977.76)</w:t>
            </w:r>
          </w:p>
          <w:p w14:paraId="3014D906" w14:textId="15636033" w:rsidR="00932CE4" w:rsidRPr="005005DE" w:rsidRDefault="00932CE4" w:rsidP="00780387">
            <w:pPr>
              <w:adjustRightInd w:val="0"/>
              <w:snapToGrid w:val="0"/>
              <w:jc w:val="both"/>
              <w:rPr>
                <w:rFonts w:ascii="Palatino Linotype" w:eastAsia="Times New Roman" w:hAnsi="Palatino Linotype"/>
                <w:snapToGrid w:val="0"/>
                <w:color w:val="000000"/>
                <w:sz w:val="18"/>
                <w:lang w:val="en-US" w:eastAsia="de-DE" w:bidi="en-US"/>
              </w:rPr>
            </w:pPr>
            <w:r w:rsidRPr="005005DE">
              <w:rPr>
                <w:rFonts w:ascii="Palatino Linotype" w:eastAsia="Times New Roman" w:hAnsi="Palatino Linotype"/>
                <w:snapToGrid w:val="0"/>
                <w:color w:val="000000"/>
                <w:sz w:val="18"/>
                <w:lang w:val="en-US" w:eastAsia="de-DE" w:bidi="en-US"/>
              </w:rPr>
              <w:t xml:space="preserve">3. Blender </w:t>
            </w:r>
            <w:r w:rsidR="00715FC6">
              <w:rPr>
                <w:rFonts w:ascii="Palatino Linotype" w:eastAsia="Times New Roman" w:hAnsi="Palatino Linotype"/>
                <w:snapToGrid w:val="0"/>
                <w:color w:val="000000"/>
                <w:sz w:val="18"/>
                <w:lang w:val="en-US" w:eastAsia="de-DE" w:bidi="en-US"/>
              </w:rPr>
              <w:t>(£1,106)</w:t>
            </w:r>
          </w:p>
          <w:p w14:paraId="2AD68AFB" w14:textId="260D7648" w:rsidR="00932CE4" w:rsidRPr="005005DE" w:rsidRDefault="00932CE4" w:rsidP="00780387">
            <w:pPr>
              <w:adjustRightInd w:val="0"/>
              <w:snapToGrid w:val="0"/>
              <w:jc w:val="both"/>
              <w:rPr>
                <w:rFonts w:ascii="Palatino Linotype" w:eastAsia="Times New Roman" w:hAnsi="Palatino Linotype"/>
                <w:snapToGrid w:val="0"/>
                <w:color w:val="000000"/>
                <w:sz w:val="18"/>
                <w:lang w:val="en-US" w:eastAsia="de-DE" w:bidi="en-US"/>
              </w:rPr>
            </w:pPr>
            <w:r w:rsidRPr="005005DE">
              <w:rPr>
                <w:rFonts w:ascii="Palatino Linotype" w:eastAsia="Times New Roman" w:hAnsi="Palatino Linotype"/>
                <w:snapToGrid w:val="0"/>
                <w:color w:val="000000"/>
                <w:sz w:val="18"/>
                <w:lang w:val="en-US" w:eastAsia="de-DE" w:bidi="en-US"/>
              </w:rPr>
              <w:t xml:space="preserve">4. Sieve </w:t>
            </w:r>
            <w:r w:rsidR="00715FC6">
              <w:rPr>
                <w:rFonts w:ascii="Palatino Linotype" w:eastAsia="Times New Roman" w:hAnsi="Palatino Linotype"/>
                <w:snapToGrid w:val="0"/>
                <w:color w:val="000000"/>
                <w:sz w:val="18"/>
                <w:lang w:val="en-US" w:eastAsia="de-DE" w:bidi="en-US"/>
              </w:rPr>
              <w:t>(£240)</w:t>
            </w:r>
          </w:p>
          <w:p w14:paraId="039E83D2" w14:textId="006FFB76" w:rsidR="00932CE4" w:rsidRPr="005005DE" w:rsidRDefault="00932CE4" w:rsidP="00780387">
            <w:pPr>
              <w:adjustRightInd w:val="0"/>
              <w:snapToGrid w:val="0"/>
              <w:jc w:val="both"/>
              <w:rPr>
                <w:rFonts w:ascii="Palatino Linotype" w:eastAsia="Times New Roman" w:hAnsi="Palatino Linotype"/>
                <w:snapToGrid w:val="0"/>
                <w:color w:val="000000"/>
                <w:sz w:val="18"/>
                <w:lang w:val="en-US" w:eastAsia="de-DE" w:bidi="en-US"/>
              </w:rPr>
            </w:pPr>
            <w:r w:rsidRPr="005005DE">
              <w:rPr>
                <w:rFonts w:ascii="Palatino Linotype" w:eastAsia="Times New Roman" w:hAnsi="Palatino Linotype"/>
                <w:snapToGrid w:val="0"/>
                <w:color w:val="000000"/>
                <w:sz w:val="18"/>
                <w:lang w:val="en-US" w:eastAsia="de-DE" w:bidi="en-US"/>
              </w:rPr>
              <w:t xml:space="preserve">5. Chiller </w:t>
            </w:r>
            <w:r w:rsidR="00715FC6">
              <w:rPr>
                <w:rFonts w:ascii="Palatino Linotype" w:eastAsia="Times New Roman" w:hAnsi="Palatino Linotype"/>
                <w:snapToGrid w:val="0"/>
                <w:color w:val="000000"/>
                <w:sz w:val="18"/>
                <w:lang w:val="en-US" w:eastAsia="de-DE" w:bidi="en-US"/>
              </w:rPr>
              <w:t>(£325)</w:t>
            </w:r>
          </w:p>
          <w:p w14:paraId="7333D173" w14:textId="61F675DD" w:rsidR="00932CE4" w:rsidRPr="005005DE" w:rsidRDefault="00932CE4" w:rsidP="00780387">
            <w:pPr>
              <w:adjustRightInd w:val="0"/>
              <w:snapToGrid w:val="0"/>
              <w:jc w:val="both"/>
              <w:rPr>
                <w:rFonts w:ascii="Palatino Linotype" w:eastAsia="Times New Roman" w:hAnsi="Palatino Linotype"/>
                <w:snapToGrid w:val="0"/>
                <w:color w:val="000000"/>
                <w:sz w:val="18"/>
                <w:lang w:val="en-US" w:eastAsia="de-DE" w:bidi="en-US"/>
              </w:rPr>
            </w:pPr>
            <w:r w:rsidRPr="005005DE">
              <w:rPr>
                <w:rFonts w:ascii="Palatino Linotype" w:eastAsia="Times New Roman" w:hAnsi="Palatino Linotype"/>
                <w:snapToGrid w:val="0"/>
                <w:color w:val="000000"/>
                <w:sz w:val="18"/>
                <w:lang w:val="en-US" w:eastAsia="de-DE" w:bidi="en-US"/>
              </w:rPr>
              <w:t xml:space="preserve">6. Microwave </w:t>
            </w:r>
            <w:r w:rsidR="00715FC6">
              <w:rPr>
                <w:rFonts w:ascii="Palatino Linotype" w:eastAsia="Times New Roman" w:hAnsi="Palatino Linotype"/>
                <w:snapToGrid w:val="0"/>
                <w:color w:val="000000"/>
                <w:sz w:val="18"/>
                <w:lang w:val="en-US" w:eastAsia="de-DE" w:bidi="en-US"/>
              </w:rPr>
              <w:t>(£18,500)</w:t>
            </w:r>
          </w:p>
          <w:p w14:paraId="25F71187" w14:textId="1EE8EF6A" w:rsidR="00932CE4" w:rsidRPr="005005DE" w:rsidRDefault="00932CE4" w:rsidP="00780387">
            <w:pPr>
              <w:adjustRightInd w:val="0"/>
              <w:snapToGrid w:val="0"/>
              <w:jc w:val="both"/>
              <w:rPr>
                <w:rFonts w:ascii="Palatino Linotype" w:eastAsia="Times New Roman" w:hAnsi="Palatino Linotype"/>
                <w:snapToGrid w:val="0"/>
                <w:color w:val="000000"/>
                <w:sz w:val="18"/>
                <w:lang w:val="en-US" w:eastAsia="de-DE" w:bidi="en-US"/>
              </w:rPr>
            </w:pPr>
            <w:r w:rsidRPr="005005DE">
              <w:rPr>
                <w:rFonts w:ascii="Palatino Linotype" w:eastAsia="Times New Roman" w:hAnsi="Palatino Linotype"/>
                <w:snapToGrid w:val="0"/>
                <w:color w:val="000000"/>
                <w:sz w:val="18"/>
                <w:lang w:val="en-US" w:eastAsia="de-DE" w:bidi="en-US"/>
              </w:rPr>
              <w:t>7. Freeze Dryer</w:t>
            </w:r>
            <w:r w:rsidR="00715FC6">
              <w:rPr>
                <w:rFonts w:ascii="Palatino Linotype" w:eastAsia="Times New Roman" w:hAnsi="Palatino Linotype"/>
                <w:snapToGrid w:val="0"/>
                <w:color w:val="000000"/>
                <w:sz w:val="18"/>
                <w:lang w:val="en-US" w:eastAsia="de-DE" w:bidi="en-US"/>
              </w:rPr>
              <w:t xml:space="preserve"> (£4,200))</w:t>
            </w:r>
          </w:p>
          <w:p w14:paraId="12683F7D" w14:textId="0BA7FBF3" w:rsidR="00932CE4" w:rsidRPr="005005DE" w:rsidRDefault="00932CE4" w:rsidP="00780387">
            <w:pPr>
              <w:adjustRightInd w:val="0"/>
              <w:snapToGrid w:val="0"/>
              <w:jc w:val="both"/>
              <w:rPr>
                <w:rFonts w:ascii="Palatino Linotype" w:eastAsia="Times New Roman" w:hAnsi="Palatino Linotype"/>
                <w:snapToGrid w:val="0"/>
                <w:color w:val="000000"/>
                <w:sz w:val="18"/>
                <w:lang w:val="en-US" w:eastAsia="de-DE" w:bidi="en-US"/>
              </w:rPr>
            </w:pPr>
            <w:r w:rsidRPr="005005DE">
              <w:rPr>
                <w:rFonts w:ascii="Palatino Linotype" w:eastAsia="Times New Roman" w:hAnsi="Palatino Linotype"/>
                <w:snapToGrid w:val="0"/>
                <w:color w:val="000000"/>
                <w:sz w:val="18"/>
                <w:lang w:val="en-US" w:eastAsia="de-DE" w:bidi="en-US"/>
              </w:rPr>
              <w:t xml:space="preserve">8. Pump </w:t>
            </w:r>
            <w:r w:rsidR="00715FC6">
              <w:rPr>
                <w:rFonts w:ascii="Palatino Linotype" w:eastAsia="Times New Roman" w:hAnsi="Palatino Linotype"/>
                <w:snapToGrid w:val="0"/>
                <w:color w:val="000000"/>
                <w:sz w:val="18"/>
                <w:lang w:val="en-US" w:eastAsia="de-DE" w:bidi="en-US"/>
              </w:rPr>
              <w:t>(£9,617)</w:t>
            </w:r>
          </w:p>
          <w:p w14:paraId="445850E9" w14:textId="7C28A831" w:rsidR="00932CE4" w:rsidRPr="005005DE" w:rsidRDefault="00932CE4" w:rsidP="00780387">
            <w:pPr>
              <w:adjustRightInd w:val="0"/>
              <w:snapToGrid w:val="0"/>
              <w:jc w:val="both"/>
              <w:rPr>
                <w:rFonts w:ascii="Palatino Linotype" w:eastAsia="Times New Roman" w:hAnsi="Palatino Linotype"/>
                <w:snapToGrid w:val="0"/>
                <w:color w:val="000000"/>
                <w:sz w:val="18"/>
                <w:lang w:val="en-US" w:eastAsia="de-DE" w:bidi="en-US"/>
              </w:rPr>
            </w:pPr>
            <w:r w:rsidRPr="005005DE">
              <w:rPr>
                <w:rFonts w:ascii="Palatino Linotype" w:eastAsia="Times New Roman" w:hAnsi="Palatino Linotype"/>
                <w:snapToGrid w:val="0"/>
                <w:color w:val="000000"/>
                <w:sz w:val="18"/>
                <w:lang w:val="en-US" w:eastAsia="de-DE" w:bidi="en-US"/>
              </w:rPr>
              <w:t>9. Boiler</w:t>
            </w:r>
            <w:r w:rsidR="00715FC6">
              <w:rPr>
                <w:rFonts w:ascii="Palatino Linotype" w:eastAsia="Times New Roman" w:hAnsi="Palatino Linotype"/>
                <w:snapToGrid w:val="0"/>
                <w:color w:val="000000"/>
                <w:sz w:val="18"/>
                <w:lang w:val="en-US" w:eastAsia="de-DE" w:bidi="en-US"/>
              </w:rPr>
              <w:t xml:space="preserve"> (£50)</w:t>
            </w:r>
          </w:p>
          <w:p w14:paraId="29EBCFB4" w14:textId="77777777" w:rsidR="00932CE4" w:rsidRDefault="00932CE4" w:rsidP="00780387">
            <w:pPr>
              <w:adjustRightInd w:val="0"/>
              <w:snapToGrid w:val="0"/>
              <w:jc w:val="both"/>
              <w:rPr>
                <w:rFonts w:ascii="Palatino Linotype" w:eastAsia="Times New Roman" w:hAnsi="Palatino Linotype"/>
                <w:snapToGrid w:val="0"/>
                <w:color w:val="000000"/>
                <w:sz w:val="18"/>
                <w:lang w:val="en-US" w:eastAsia="de-DE" w:bidi="en-US"/>
              </w:rPr>
            </w:pPr>
            <w:r w:rsidRPr="005005DE">
              <w:rPr>
                <w:rFonts w:ascii="Palatino Linotype" w:eastAsia="Times New Roman" w:hAnsi="Palatino Linotype"/>
                <w:snapToGrid w:val="0"/>
                <w:color w:val="000000"/>
                <w:sz w:val="18"/>
                <w:lang w:val="en-US" w:eastAsia="de-DE" w:bidi="en-US"/>
              </w:rPr>
              <w:t>10. Centrifuge</w:t>
            </w:r>
            <w:r w:rsidR="00715FC6">
              <w:rPr>
                <w:rFonts w:ascii="Palatino Linotype" w:eastAsia="Times New Roman" w:hAnsi="Palatino Linotype"/>
                <w:snapToGrid w:val="0"/>
                <w:color w:val="000000"/>
                <w:sz w:val="18"/>
                <w:lang w:val="en-US" w:eastAsia="de-DE" w:bidi="en-US"/>
              </w:rPr>
              <w:t xml:space="preserve"> (£7470)</w:t>
            </w:r>
          </w:p>
          <w:p w14:paraId="0B24E4D2" w14:textId="18CAEB2B" w:rsidR="00715FC6" w:rsidRPr="005005DE" w:rsidRDefault="00715FC6" w:rsidP="00780387">
            <w:pPr>
              <w:adjustRightInd w:val="0"/>
              <w:snapToGrid w:val="0"/>
              <w:jc w:val="both"/>
              <w:rPr>
                <w:rFonts w:ascii="Palatino Linotype" w:eastAsia="Times New Roman" w:hAnsi="Palatino Linotype"/>
                <w:snapToGrid w:val="0"/>
                <w:color w:val="000000"/>
                <w:sz w:val="18"/>
                <w:lang w:val="en-US" w:eastAsia="de-DE" w:bidi="en-US"/>
              </w:rPr>
            </w:pPr>
            <w:r>
              <w:rPr>
                <w:rFonts w:ascii="Palatino Linotype" w:eastAsia="Times New Roman" w:hAnsi="Palatino Linotype"/>
                <w:snapToGrid w:val="0"/>
                <w:color w:val="000000"/>
                <w:sz w:val="18"/>
                <w:lang w:val="en-US" w:eastAsia="de-DE" w:bidi="en-US"/>
              </w:rPr>
              <w:t>11. Staff Cost (£25,000)</w:t>
            </w:r>
          </w:p>
        </w:tc>
        <w:tc>
          <w:tcPr>
            <w:tcW w:w="1563" w:type="dxa"/>
            <w:shd w:val="clear" w:color="auto" w:fill="E2EFD9" w:themeFill="accent6" w:themeFillTint="33"/>
          </w:tcPr>
          <w:p w14:paraId="216B0E87" w14:textId="77777777" w:rsidR="00932CE4" w:rsidRPr="005005DE" w:rsidRDefault="00932CE4" w:rsidP="00780387">
            <w:pPr>
              <w:adjustRightInd w:val="0"/>
              <w:snapToGrid w:val="0"/>
              <w:jc w:val="both"/>
              <w:rPr>
                <w:rFonts w:ascii="Palatino Linotype" w:eastAsia="Times New Roman" w:hAnsi="Palatino Linotype"/>
                <w:snapToGrid w:val="0"/>
                <w:color w:val="000000"/>
                <w:sz w:val="18"/>
                <w:lang w:val="en-US" w:eastAsia="de-DE" w:bidi="en-US"/>
              </w:rPr>
            </w:pPr>
            <w:r w:rsidRPr="005005DE">
              <w:rPr>
                <w:rFonts w:ascii="Palatino Linotype" w:eastAsia="Times New Roman" w:hAnsi="Palatino Linotype"/>
                <w:snapToGrid w:val="0"/>
                <w:color w:val="000000"/>
                <w:sz w:val="18"/>
                <w:lang w:val="en-US" w:eastAsia="de-DE" w:bidi="en-US"/>
              </w:rPr>
              <w:t>N/A</w:t>
            </w:r>
          </w:p>
        </w:tc>
        <w:tc>
          <w:tcPr>
            <w:tcW w:w="1275" w:type="dxa"/>
            <w:shd w:val="clear" w:color="auto" w:fill="D9E2F3" w:themeFill="accent1" w:themeFillTint="33"/>
          </w:tcPr>
          <w:p w14:paraId="23191A66" w14:textId="77777777" w:rsidR="00932CE4" w:rsidRPr="005005DE" w:rsidRDefault="00932CE4" w:rsidP="00780387">
            <w:pPr>
              <w:adjustRightInd w:val="0"/>
              <w:snapToGrid w:val="0"/>
              <w:jc w:val="both"/>
              <w:rPr>
                <w:rFonts w:ascii="Palatino Linotype" w:eastAsia="Times New Roman" w:hAnsi="Palatino Linotype"/>
                <w:snapToGrid w:val="0"/>
                <w:color w:val="000000"/>
                <w:sz w:val="18"/>
                <w:lang w:val="en-US" w:eastAsia="de-DE" w:bidi="en-US"/>
              </w:rPr>
            </w:pPr>
            <w:r w:rsidRPr="005005DE">
              <w:rPr>
                <w:rFonts w:ascii="Palatino Linotype" w:eastAsia="Times New Roman" w:hAnsi="Palatino Linotype"/>
                <w:snapToGrid w:val="0"/>
                <w:color w:val="000000"/>
                <w:sz w:val="18"/>
                <w:lang w:val="en-US" w:eastAsia="de-DE" w:bidi="en-US"/>
              </w:rPr>
              <w:t>N/A</w:t>
            </w:r>
          </w:p>
        </w:tc>
        <w:tc>
          <w:tcPr>
            <w:tcW w:w="1371" w:type="dxa"/>
            <w:shd w:val="clear" w:color="auto" w:fill="D9E2F3" w:themeFill="accent1" w:themeFillTint="33"/>
          </w:tcPr>
          <w:p w14:paraId="15168E3A" w14:textId="77777777" w:rsidR="00932CE4" w:rsidRPr="005005DE" w:rsidRDefault="00932CE4" w:rsidP="00780387">
            <w:pPr>
              <w:adjustRightInd w:val="0"/>
              <w:snapToGrid w:val="0"/>
              <w:jc w:val="both"/>
              <w:rPr>
                <w:rFonts w:ascii="Palatino Linotype" w:eastAsia="Times New Roman" w:hAnsi="Palatino Linotype"/>
                <w:snapToGrid w:val="0"/>
                <w:color w:val="000000"/>
                <w:sz w:val="18"/>
                <w:lang w:val="en-US" w:eastAsia="de-DE" w:bidi="en-US"/>
              </w:rPr>
            </w:pPr>
            <w:r w:rsidRPr="005005DE">
              <w:rPr>
                <w:rFonts w:ascii="Palatino Linotype" w:eastAsia="Times New Roman" w:hAnsi="Palatino Linotype"/>
                <w:snapToGrid w:val="0"/>
                <w:color w:val="000000"/>
                <w:sz w:val="18"/>
                <w:lang w:val="en-US" w:eastAsia="de-DE" w:bidi="en-US"/>
              </w:rPr>
              <w:t>N/A</w:t>
            </w:r>
          </w:p>
        </w:tc>
      </w:tr>
      <w:tr w:rsidR="00932CE4" w:rsidRPr="005005DE" w14:paraId="6C59CA37" w14:textId="77777777" w:rsidTr="00F128E7">
        <w:tc>
          <w:tcPr>
            <w:tcW w:w="1787" w:type="dxa"/>
            <w:shd w:val="clear" w:color="auto" w:fill="E7E6E6" w:themeFill="background2"/>
          </w:tcPr>
          <w:p w14:paraId="49DCB568" w14:textId="6BF67087" w:rsidR="00932CE4" w:rsidRPr="005005DE" w:rsidRDefault="00932CE4" w:rsidP="00780387">
            <w:pPr>
              <w:adjustRightInd w:val="0"/>
              <w:snapToGrid w:val="0"/>
              <w:jc w:val="both"/>
              <w:rPr>
                <w:rFonts w:ascii="Palatino Linotype" w:eastAsia="Times New Roman" w:hAnsi="Palatino Linotype"/>
                <w:snapToGrid w:val="0"/>
                <w:color w:val="000000"/>
                <w:sz w:val="18"/>
                <w:lang w:val="en-US" w:eastAsia="de-DE" w:bidi="en-US"/>
              </w:rPr>
            </w:pPr>
            <w:r w:rsidRPr="005005DE">
              <w:rPr>
                <w:rFonts w:ascii="Palatino Linotype" w:eastAsia="Times New Roman" w:hAnsi="Palatino Linotype"/>
                <w:snapToGrid w:val="0"/>
                <w:color w:val="000000"/>
                <w:sz w:val="18"/>
                <w:lang w:val="en-US" w:eastAsia="de-DE" w:bidi="en-US"/>
              </w:rPr>
              <w:t>Operational (</w:t>
            </w:r>
            <w:r w:rsidR="00715FC6">
              <w:rPr>
                <w:rFonts w:ascii="Palatino Linotype" w:eastAsia="Times New Roman" w:hAnsi="Palatino Linotype"/>
                <w:snapToGrid w:val="0"/>
                <w:color w:val="000000"/>
                <w:sz w:val="18"/>
                <w:lang w:val="en-US" w:eastAsia="de-DE" w:bidi="en-US"/>
              </w:rPr>
              <w:t>Values are per year, repeated through y</w:t>
            </w:r>
            <w:r w:rsidRPr="005005DE">
              <w:rPr>
                <w:rFonts w:ascii="Palatino Linotype" w:eastAsia="Times New Roman" w:hAnsi="Palatino Linotype"/>
                <w:snapToGrid w:val="0"/>
                <w:color w:val="000000"/>
                <w:sz w:val="18"/>
                <w:lang w:val="en-US" w:eastAsia="de-DE" w:bidi="en-US"/>
              </w:rPr>
              <w:t>ears 1-</w:t>
            </w:r>
            <w:r w:rsidR="00715FC6">
              <w:rPr>
                <w:rFonts w:ascii="Palatino Linotype" w:eastAsia="Times New Roman" w:hAnsi="Palatino Linotype"/>
                <w:snapToGrid w:val="0"/>
                <w:color w:val="000000"/>
                <w:sz w:val="18"/>
                <w:lang w:val="en-US" w:eastAsia="de-DE" w:bidi="en-US"/>
              </w:rPr>
              <w:t>20</w:t>
            </w:r>
            <w:r w:rsidRPr="005005DE">
              <w:rPr>
                <w:rFonts w:ascii="Palatino Linotype" w:eastAsia="Times New Roman" w:hAnsi="Palatino Linotype"/>
                <w:snapToGrid w:val="0"/>
                <w:color w:val="000000"/>
                <w:sz w:val="18"/>
                <w:lang w:val="en-US" w:eastAsia="de-DE" w:bidi="en-US"/>
              </w:rPr>
              <w:t>)</w:t>
            </w:r>
          </w:p>
        </w:tc>
        <w:tc>
          <w:tcPr>
            <w:tcW w:w="3025" w:type="dxa"/>
            <w:shd w:val="clear" w:color="auto" w:fill="E2EFD9" w:themeFill="accent6" w:themeFillTint="33"/>
          </w:tcPr>
          <w:p w14:paraId="33282A07" w14:textId="6847D1C4" w:rsidR="00932CE4" w:rsidRPr="005005DE" w:rsidRDefault="00932CE4" w:rsidP="00780387">
            <w:pPr>
              <w:adjustRightInd w:val="0"/>
              <w:snapToGrid w:val="0"/>
              <w:jc w:val="both"/>
              <w:rPr>
                <w:rFonts w:ascii="Palatino Linotype" w:eastAsia="Times New Roman" w:hAnsi="Palatino Linotype"/>
                <w:snapToGrid w:val="0"/>
                <w:color w:val="000000"/>
                <w:sz w:val="18"/>
                <w:lang w:val="en-US" w:eastAsia="de-DE" w:bidi="en-US"/>
              </w:rPr>
            </w:pPr>
            <w:r w:rsidRPr="005005DE">
              <w:rPr>
                <w:rFonts w:ascii="Palatino Linotype" w:eastAsia="Times New Roman" w:hAnsi="Palatino Linotype"/>
                <w:snapToGrid w:val="0"/>
                <w:color w:val="000000"/>
                <w:sz w:val="18"/>
                <w:lang w:val="en-US" w:eastAsia="de-DE" w:bidi="en-US"/>
              </w:rPr>
              <w:t>1. Energy Costs</w:t>
            </w:r>
            <w:r w:rsidR="00715FC6">
              <w:rPr>
                <w:rFonts w:ascii="Palatino Linotype" w:eastAsia="Times New Roman" w:hAnsi="Palatino Linotype"/>
                <w:snapToGrid w:val="0"/>
                <w:color w:val="000000"/>
                <w:sz w:val="18"/>
                <w:lang w:val="en-US" w:eastAsia="de-DE" w:bidi="en-US"/>
              </w:rPr>
              <w:t xml:space="preserve"> (£2,667,288,56)</w:t>
            </w:r>
          </w:p>
          <w:p w14:paraId="26E120D1" w14:textId="2D72AC30" w:rsidR="00932CE4" w:rsidRPr="005005DE" w:rsidRDefault="00932CE4" w:rsidP="00780387">
            <w:pPr>
              <w:adjustRightInd w:val="0"/>
              <w:snapToGrid w:val="0"/>
              <w:jc w:val="both"/>
              <w:rPr>
                <w:rFonts w:ascii="Palatino Linotype" w:eastAsia="Times New Roman" w:hAnsi="Palatino Linotype"/>
                <w:snapToGrid w:val="0"/>
                <w:color w:val="000000"/>
                <w:sz w:val="18"/>
                <w:lang w:val="en-US" w:eastAsia="de-DE" w:bidi="en-US"/>
              </w:rPr>
            </w:pPr>
            <w:r w:rsidRPr="005005DE">
              <w:rPr>
                <w:rFonts w:ascii="Palatino Linotype" w:eastAsia="Times New Roman" w:hAnsi="Palatino Linotype"/>
                <w:snapToGrid w:val="0"/>
                <w:color w:val="000000"/>
                <w:sz w:val="18"/>
                <w:lang w:val="en-US" w:eastAsia="de-DE" w:bidi="en-US"/>
              </w:rPr>
              <w:t>2. Water Costs</w:t>
            </w:r>
            <w:r w:rsidR="00715FC6">
              <w:rPr>
                <w:rFonts w:ascii="Palatino Linotype" w:eastAsia="Times New Roman" w:hAnsi="Palatino Linotype"/>
                <w:snapToGrid w:val="0"/>
                <w:color w:val="000000"/>
                <w:sz w:val="18"/>
                <w:lang w:val="en-US" w:eastAsia="de-DE" w:bidi="en-US"/>
              </w:rPr>
              <w:t xml:space="preserve"> (£184,531.57)</w:t>
            </w:r>
          </w:p>
          <w:p w14:paraId="25B4B656" w14:textId="528C234C" w:rsidR="00932CE4" w:rsidRPr="005005DE" w:rsidRDefault="00932CE4" w:rsidP="00780387">
            <w:pPr>
              <w:adjustRightInd w:val="0"/>
              <w:snapToGrid w:val="0"/>
              <w:rPr>
                <w:rFonts w:ascii="Palatino Linotype" w:eastAsia="Times New Roman" w:hAnsi="Palatino Linotype"/>
                <w:snapToGrid w:val="0"/>
                <w:color w:val="000000"/>
                <w:sz w:val="18"/>
                <w:lang w:val="en-US" w:eastAsia="de-DE" w:bidi="en-US"/>
              </w:rPr>
            </w:pPr>
            <w:r w:rsidRPr="005005DE">
              <w:rPr>
                <w:rFonts w:ascii="Palatino Linotype" w:eastAsia="Times New Roman" w:hAnsi="Palatino Linotype"/>
                <w:snapToGrid w:val="0"/>
                <w:color w:val="000000"/>
                <w:sz w:val="18"/>
                <w:lang w:val="en-US" w:eastAsia="de-DE" w:bidi="en-US"/>
              </w:rPr>
              <w:t>3. Consumables (filter cloths, flasks and ethanol)</w:t>
            </w:r>
            <w:r w:rsidR="00715FC6">
              <w:rPr>
                <w:rFonts w:ascii="Palatino Linotype" w:eastAsia="Times New Roman" w:hAnsi="Palatino Linotype"/>
                <w:snapToGrid w:val="0"/>
                <w:color w:val="000000"/>
                <w:sz w:val="18"/>
                <w:lang w:val="en-US" w:eastAsia="de-DE" w:bidi="en-US"/>
              </w:rPr>
              <w:t xml:space="preserve"> (£537,678.87)</w:t>
            </w:r>
          </w:p>
          <w:p w14:paraId="20C3D4DD" w14:textId="07BF019C" w:rsidR="00932CE4" w:rsidRPr="005005DE" w:rsidRDefault="00932CE4" w:rsidP="00780387">
            <w:pPr>
              <w:adjustRightInd w:val="0"/>
              <w:snapToGrid w:val="0"/>
              <w:jc w:val="both"/>
              <w:rPr>
                <w:rFonts w:ascii="Palatino Linotype" w:eastAsia="Times New Roman" w:hAnsi="Palatino Linotype"/>
                <w:snapToGrid w:val="0"/>
                <w:color w:val="000000"/>
                <w:sz w:val="18"/>
                <w:lang w:val="en-US" w:eastAsia="de-DE" w:bidi="en-US"/>
              </w:rPr>
            </w:pPr>
            <w:r w:rsidRPr="005005DE">
              <w:rPr>
                <w:rFonts w:ascii="Palatino Linotype" w:eastAsia="Times New Roman" w:hAnsi="Palatino Linotype"/>
                <w:snapToGrid w:val="0"/>
                <w:color w:val="000000"/>
                <w:sz w:val="18"/>
                <w:lang w:val="en-US" w:eastAsia="de-DE" w:bidi="en-US"/>
              </w:rPr>
              <w:t>4. Staff cost</w:t>
            </w:r>
            <w:r w:rsidR="00715FC6">
              <w:rPr>
                <w:rFonts w:ascii="Palatino Linotype" w:eastAsia="Times New Roman" w:hAnsi="Palatino Linotype"/>
                <w:snapToGrid w:val="0"/>
                <w:color w:val="000000"/>
                <w:sz w:val="18"/>
                <w:lang w:val="en-US" w:eastAsia="de-DE" w:bidi="en-US"/>
              </w:rPr>
              <w:t xml:space="preserve"> (£95,000)</w:t>
            </w:r>
          </w:p>
        </w:tc>
        <w:tc>
          <w:tcPr>
            <w:tcW w:w="1563" w:type="dxa"/>
            <w:shd w:val="clear" w:color="auto" w:fill="E2EFD9" w:themeFill="accent6" w:themeFillTint="33"/>
          </w:tcPr>
          <w:p w14:paraId="13C9F10A" w14:textId="29930385" w:rsidR="00932CE4" w:rsidRPr="005005DE" w:rsidRDefault="00932CE4" w:rsidP="00780387">
            <w:pPr>
              <w:adjustRightInd w:val="0"/>
              <w:snapToGrid w:val="0"/>
              <w:jc w:val="both"/>
              <w:rPr>
                <w:rFonts w:ascii="Palatino Linotype" w:eastAsia="Times New Roman" w:hAnsi="Palatino Linotype"/>
                <w:snapToGrid w:val="0"/>
                <w:color w:val="000000"/>
                <w:sz w:val="18"/>
                <w:lang w:val="en-US" w:eastAsia="de-DE" w:bidi="en-US"/>
              </w:rPr>
            </w:pPr>
            <w:r w:rsidRPr="005005DE">
              <w:rPr>
                <w:rFonts w:ascii="Palatino Linotype" w:eastAsia="Times New Roman" w:hAnsi="Palatino Linotype"/>
                <w:snapToGrid w:val="0"/>
                <w:color w:val="000000"/>
                <w:sz w:val="18"/>
                <w:lang w:val="en-US" w:eastAsia="de-DE" w:bidi="en-US"/>
              </w:rPr>
              <w:t>Pectin Value</w:t>
            </w:r>
            <w:r w:rsidR="00715FC6">
              <w:rPr>
                <w:rFonts w:ascii="Palatino Linotype" w:eastAsia="Times New Roman" w:hAnsi="Palatino Linotype"/>
                <w:snapToGrid w:val="0"/>
                <w:color w:val="000000"/>
                <w:sz w:val="18"/>
                <w:lang w:val="en-US" w:eastAsia="de-DE" w:bidi="en-US"/>
              </w:rPr>
              <w:t xml:space="preserve"> (£1,965,261.26)</w:t>
            </w:r>
          </w:p>
        </w:tc>
        <w:tc>
          <w:tcPr>
            <w:tcW w:w="1275" w:type="dxa"/>
            <w:shd w:val="clear" w:color="auto" w:fill="D9E2F3" w:themeFill="accent1" w:themeFillTint="33"/>
          </w:tcPr>
          <w:p w14:paraId="4530BC70" w14:textId="77777777" w:rsidR="00932CE4" w:rsidRPr="005005DE" w:rsidRDefault="00932CE4" w:rsidP="00780387">
            <w:pPr>
              <w:adjustRightInd w:val="0"/>
              <w:snapToGrid w:val="0"/>
              <w:jc w:val="both"/>
              <w:rPr>
                <w:rFonts w:ascii="Palatino Linotype" w:eastAsia="Times New Roman" w:hAnsi="Palatino Linotype"/>
                <w:snapToGrid w:val="0"/>
                <w:color w:val="000000"/>
                <w:sz w:val="18"/>
                <w:lang w:val="en-US" w:eastAsia="de-DE" w:bidi="en-US"/>
              </w:rPr>
            </w:pPr>
            <w:r w:rsidRPr="005005DE">
              <w:rPr>
                <w:rFonts w:ascii="Palatino Linotype" w:eastAsia="Times New Roman" w:hAnsi="Palatino Linotype"/>
                <w:snapToGrid w:val="0"/>
                <w:color w:val="000000"/>
                <w:sz w:val="18"/>
                <w:lang w:val="en-US" w:eastAsia="de-DE" w:bidi="en-US"/>
              </w:rPr>
              <w:t>N/A</w:t>
            </w:r>
          </w:p>
        </w:tc>
        <w:tc>
          <w:tcPr>
            <w:tcW w:w="1371" w:type="dxa"/>
            <w:shd w:val="clear" w:color="auto" w:fill="D9E2F3" w:themeFill="accent1" w:themeFillTint="33"/>
          </w:tcPr>
          <w:p w14:paraId="79B9EA2D" w14:textId="311D3B16" w:rsidR="00932CE4" w:rsidRPr="005005DE" w:rsidRDefault="00932CE4" w:rsidP="00780387">
            <w:pPr>
              <w:adjustRightInd w:val="0"/>
              <w:snapToGrid w:val="0"/>
              <w:jc w:val="both"/>
              <w:rPr>
                <w:rFonts w:ascii="Palatino Linotype" w:eastAsia="Times New Roman" w:hAnsi="Palatino Linotype"/>
                <w:snapToGrid w:val="0"/>
                <w:color w:val="000000"/>
                <w:sz w:val="18"/>
                <w:lang w:val="en-US" w:eastAsia="de-DE" w:bidi="en-US"/>
              </w:rPr>
            </w:pPr>
            <w:r w:rsidRPr="005005DE">
              <w:rPr>
                <w:rFonts w:ascii="Palatino Linotype" w:eastAsia="Times New Roman" w:hAnsi="Palatino Linotype"/>
                <w:snapToGrid w:val="0"/>
                <w:color w:val="000000"/>
                <w:sz w:val="18"/>
                <w:lang w:val="en-US" w:eastAsia="de-DE" w:bidi="en-US"/>
              </w:rPr>
              <w:t>2</w:t>
            </w:r>
            <w:r w:rsidRPr="005005DE">
              <w:rPr>
                <w:rFonts w:ascii="Palatino Linotype" w:eastAsia="Times New Roman" w:hAnsi="Palatino Linotype"/>
                <w:snapToGrid w:val="0"/>
                <w:color w:val="000000"/>
                <w:sz w:val="18"/>
                <w:vertAlign w:val="superscript"/>
                <w:lang w:val="en-US" w:eastAsia="de-DE" w:bidi="en-US"/>
              </w:rPr>
              <w:t>nd</w:t>
            </w:r>
            <w:r w:rsidRPr="005005DE">
              <w:rPr>
                <w:rFonts w:ascii="Palatino Linotype" w:eastAsia="Times New Roman" w:hAnsi="Palatino Linotype"/>
                <w:snapToGrid w:val="0"/>
                <w:color w:val="000000"/>
                <w:sz w:val="18"/>
                <w:lang w:val="en-US" w:eastAsia="de-DE" w:bidi="en-US"/>
              </w:rPr>
              <w:t xml:space="preserve"> class fruit value</w:t>
            </w:r>
            <w:r w:rsidR="00715FC6">
              <w:rPr>
                <w:rFonts w:ascii="Palatino Linotype" w:eastAsia="Times New Roman" w:hAnsi="Palatino Linotype"/>
                <w:snapToGrid w:val="0"/>
                <w:color w:val="000000"/>
                <w:sz w:val="18"/>
                <w:lang w:val="en-US" w:eastAsia="de-DE" w:bidi="en-US"/>
              </w:rPr>
              <w:t xml:space="preserve"> (£</w:t>
            </w:r>
            <w:r w:rsidR="00715FC6" w:rsidRPr="00715FC6">
              <w:rPr>
                <w:rFonts w:ascii="Palatino Linotype" w:eastAsia="Times New Roman" w:hAnsi="Palatino Linotype"/>
                <w:snapToGrid w:val="0"/>
                <w:color w:val="000000"/>
                <w:sz w:val="18"/>
                <w:lang w:val="en-US" w:eastAsia="de-DE" w:bidi="en-US"/>
              </w:rPr>
              <w:t>1</w:t>
            </w:r>
            <w:r w:rsidR="00715FC6">
              <w:rPr>
                <w:rFonts w:ascii="Palatino Linotype" w:eastAsia="Times New Roman" w:hAnsi="Palatino Linotype"/>
                <w:snapToGrid w:val="0"/>
                <w:color w:val="000000"/>
                <w:sz w:val="18"/>
                <w:lang w:val="en-US" w:eastAsia="de-DE" w:bidi="en-US"/>
              </w:rPr>
              <w:t xml:space="preserve">,210,988.45) </w:t>
            </w:r>
          </w:p>
        </w:tc>
      </w:tr>
      <w:tr w:rsidR="00932CE4" w:rsidRPr="005005DE" w14:paraId="772DDB41" w14:textId="77777777" w:rsidTr="00F128E7">
        <w:trPr>
          <w:trHeight w:val="301"/>
        </w:trPr>
        <w:tc>
          <w:tcPr>
            <w:tcW w:w="1787" w:type="dxa"/>
            <w:shd w:val="clear" w:color="auto" w:fill="FBE4D5" w:themeFill="accent2" w:themeFillTint="33"/>
          </w:tcPr>
          <w:p w14:paraId="6684E1F5" w14:textId="77777777" w:rsidR="00932CE4" w:rsidRPr="005005DE" w:rsidRDefault="00932CE4" w:rsidP="00780387">
            <w:pPr>
              <w:adjustRightInd w:val="0"/>
              <w:snapToGrid w:val="0"/>
              <w:jc w:val="both"/>
              <w:rPr>
                <w:rFonts w:ascii="Palatino Linotype" w:eastAsia="Times New Roman" w:hAnsi="Palatino Linotype"/>
                <w:snapToGrid w:val="0"/>
                <w:color w:val="000000"/>
                <w:sz w:val="18"/>
                <w:lang w:val="en-US" w:eastAsia="de-DE" w:bidi="en-US"/>
              </w:rPr>
            </w:pPr>
            <w:r w:rsidRPr="005005DE">
              <w:rPr>
                <w:rFonts w:ascii="Palatino Linotype" w:eastAsia="Times New Roman" w:hAnsi="Palatino Linotype"/>
                <w:snapToGrid w:val="0"/>
                <w:color w:val="000000"/>
                <w:sz w:val="18"/>
                <w:lang w:val="en-US" w:eastAsia="de-DE" w:bidi="en-US"/>
              </w:rPr>
              <w:t>Project Total</w:t>
            </w:r>
          </w:p>
        </w:tc>
        <w:tc>
          <w:tcPr>
            <w:tcW w:w="4588" w:type="dxa"/>
            <w:gridSpan w:val="2"/>
            <w:shd w:val="clear" w:color="auto" w:fill="FBE4D5" w:themeFill="accent2" w:themeFillTint="33"/>
          </w:tcPr>
          <w:p w14:paraId="12DD612D" w14:textId="77777777" w:rsidR="00932CE4" w:rsidRPr="005005DE" w:rsidRDefault="00932CE4" w:rsidP="00780387">
            <w:pPr>
              <w:adjustRightInd w:val="0"/>
              <w:snapToGrid w:val="0"/>
              <w:jc w:val="both"/>
              <w:rPr>
                <w:rFonts w:ascii="Palatino Linotype" w:eastAsia="Times New Roman" w:hAnsi="Palatino Linotype"/>
                <w:snapToGrid w:val="0"/>
                <w:color w:val="000000"/>
                <w:sz w:val="18"/>
                <w:lang w:val="en-US" w:eastAsia="de-DE" w:bidi="en-US"/>
              </w:rPr>
            </w:pPr>
            <w:r w:rsidRPr="005005DE">
              <w:rPr>
                <w:rFonts w:ascii="Palatino Linotype" w:eastAsia="Times New Roman" w:hAnsi="Palatino Linotype"/>
                <w:snapToGrid w:val="0"/>
                <w:color w:val="000000"/>
                <w:sz w:val="18"/>
                <w:lang w:val="en-US" w:eastAsia="de-DE" w:bidi="en-US"/>
              </w:rPr>
              <w:t>£-28,938,783.00</w:t>
            </w:r>
            <w:r w:rsidRPr="005005DE">
              <w:rPr>
                <w:rFonts w:ascii="Palatino Linotype" w:eastAsia="Times New Roman" w:hAnsi="Palatino Linotype"/>
                <w:snapToGrid w:val="0"/>
                <w:color w:val="000000"/>
                <w:sz w:val="18"/>
                <w:lang w:val="en-US" w:eastAsia="de-DE" w:bidi="en-US"/>
              </w:rPr>
              <w:tab/>
            </w:r>
            <w:r w:rsidRPr="005005DE">
              <w:rPr>
                <w:rFonts w:ascii="Palatino Linotype" w:eastAsia="Times New Roman" w:hAnsi="Palatino Linotype"/>
                <w:snapToGrid w:val="0"/>
                <w:color w:val="000000"/>
                <w:sz w:val="18"/>
                <w:lang w:val="en-US" w:eastAsia="de-DE" w:bidi="en-US"/>
              </w:rPr>
              <w:tab/>
            </w:r>
            <w:r w:rsidRPr="005005DE">
              <w:rPr>
                <w:rFonts w:ascii="Palatino Linotype" w:eastAsia="Times New Roman" w:hAnsi="Palatino Linotype"/>
                <w:snapToGrid w:val="0"/>
                <w:color w:val="000000"/>
                <w:sz w:val="18"/>
                <w:lang w:val="en-US" w:eastAsia="de-DE" w:bidi="en-US"/>
              </w:rPr>
              <w:tab/>
            </w:r>
            <w:r w:rsidRPr="005005DE">
              <w:rPr>
                <w:rFonts w:ascii="Palatino Linotype" w:eastAsia="Times New Roman" w:hAnsi="Palatino Linotype"/>
                <w:snapToGrid w:val="0"/>
                <w:color w:val="000000"/>
                <w:sz w:val="18"/>
                <w:lang w:val="en-US" w:eastAsia="de-DE" w:bidi="en-US"/>
              </w:rPr>
              <w:tab/>
            </w:r>
            <w:r w:rsidRPr="005005DE">
              <w:rPr>
                <w:rFonts w:ascii="Palatino Linotype" w:eastAsia="Times New Roman" w:hAnsi="Palatino Linotype"/>
                <w:snapToGrid w:val="0"/>
                <w:color w:val="000000"/>
                <w:sz w:val="18"/>
                <w:lang w:val="en-US" w:eastAsia="de-DE" w:bidi="en-US"/>
              </w:rPr>
              <w:tab/>
            </w:r>
            <w:r w:rsidRPr="005005DE">
              <w:rPr>
                <w:rFonts w:ascii="Palatino Linotype" w:eastAsia="Times New Roman" w:hAnsi="Palatino Linotype"/>
                <w:snapToGrid w:val="0"/>
                <w:color w:val="000000"/>
                <w:sz w:val="18"/>
                <w:lang w:val="en-US" w:eastAsia="de-DE" w:bidi="en-US"/>
              </w:rPr>
              <w:tab/>
            </w:r>
            <w:r w:rsidRPr="005005DE">
              <w:rPr>
                <w:rFonts w:ascii="Palatino Linotype" w:eastAsia="Times New Roman" w:hAnsi="Palatino Linotype"/>
                <w:snapToGrid w:val="0"/>
                <w:color w:val="000000"/>
                <w:sz w:val="18"/>
                <w:lang w:val="en-US" w:eastAsia="de-DE" w:bidi="en-US"/>
              </w:rPr>
              <w:tab/>
            </w:r>
            <w:r w:rsidRPr="005005DE">
              <w:rPr>
                <w:rFonts w:ascii="Palatino Linotype" w:eastAsia="Times New Roman" w:hAnsi="Palatino Linotype"/>
                <w:snapToGrid w:val="0"/>
                <w:color w:val="000000"/>
                <w:sz w:val="18"/>
                <w:lang w:val="en-US" w:eastAsia="de-DE" w:bidi="en-US"/>
              </w:rPr>
              <w:tab/>
            </w:r>
            <w:r w:rsidRPr="005005DE">
              <w:rPr>
                <w:rFonts w:ascii="Palatino Linotype" w:eastAsia="Times New Roman" w:hAnsi="Palatino Linotype"/>
                <w:snapToGrid w:val="0"/>
                <w:color w:val="000000"/>
                <w:sz w:val="18"/>
                <w:lang w:val="en-US" w:eastAsia="de-DE" w:bidi="en-US"/>
              </w:rPr>
              <w:tab/>
            </w:r>
          </w:p>
        </w:tc>
        <w:tc>
          <w:tcPr>
            <w:tcW w:w="2646" w:type="dxa"/>
            <w:gridSpan w:val="2"/>
            <w:shd w:val="clear" w:color="auto" w:fill="FBE4D5" w:themeFill="accent2" w:themeFillTint="33"/>
          </w:tcPr>
          <w:p w14:paraId="51E5C7C6" w14:textId="77777777" w:rsidR="00932CE4" w:rsidRPr="005005DE" w:rsidRDefault="00932CE4" w:rsidP="00780387">
            <w:pPr>
              <w:adjustRightInd w:val="0"/>
              <w:snapToGrid w:val="0"/>
              <w:jc w:val="both"/>
              <w:rPr>
                <w:rFonts w:ascii="Palatino Linotype" w:eastAsia="Times New Roman" w:hAnsi="Palatino Linotype"/>
                <w:snapToGrid w:val="0"/>
                <w:color w:val="000000"/>
                <w:sz w:val="18"/>
                <w:lang w:val="en-US" w:eastAsia="de-DE" w:bidi="en-US"/>
              </w:rPr>
            </w:pPr>
            <w:r w:rsidRPr="005005DE">
              <w:rPr>
                <w:rFonts w:ascii="Palatino Linotype" w:eastAsia="Times New Roman" w:hAnsi="Palatino Linotype"/>
                <w:snapToGrid w:val="0"/>
                <w:color w:val="000000"/>
                <w:sz w:val="18"/>
                <w:lang w:val="en-US" w:eastAsia="de-DE" w:bidi="en-US"/>
              </w:rPr>
              <w:t>£24,219,769.00</w:t>
            </w:r>
            <w:r w:rsidRPr="005005DE">
              <w:rPr>
                <w:rFonts w:ascii="Palatino Linotype" w:eastAsia="Times New Roman" w:hAnsi="Palatino Linotype"/>
                <w:snapToGrid w:val="0"/>
                <w:color w:val="000000"/>
                <w:sz w:val="18"/>
                <w:lang w:val="en-US" w:eastAsia="de-DE" w:bidi="en-US"/>
              </w:rPr>
              <w:tab/>
            </w:r>
            <w:r w:rsidRPr="005005DE">
              <w:rPr>
                <w:rFonts w:ascii="Palatino Linotype" w:eastAsia="Times New Roman" w:hAnsi="Palatino Linotype"/>
                <w:snapToGrid w:val="0"/>
                <w:color w:val="000000"/>
                <w:sz w:val="18"/>
                <w:lang w:val="en-US" w:eastAsia="de-DE" w:bidi="en-US"/>
              </w:rPr>
              <w:tab/>
            </w:r>
          </w:p>
        </w:tc>
      </w:tr>
      <w:tr w:rsidR="00932CE4" w:rsidRPr="005005DE" w14:paraId="4B5D9DF8" w14:textId="77777777" w:rsidTr="00F128E7">
        <w:tc>
          <w:tcPr>
            <w:tcW w:w="1787" w:type="dxa"/>
            <w:shd w:val="clear" w:color="auto" w:fill="FBE4D5" w:themeFill="accent2" w:themeFillTint="33"/>
          </w:tcPr>
          <w:p w14:paraId="35415522" w14:textId="77777777" w:rsidR="00932CE4" w:rsidRPr="005005DE" w:rsidRDefault="00932CE4" w:rsidP="00780387">
            <w:pPr>
              <w:adjustRightInd w:val="0"/>
              <w:snapToGrid w:val="0"/>
              <w:jc w:val="both"/>
              <w:rPr>
                <w:rFonts w:ascii="Palatino Linotype" w:eastAsia="Times New Roman" w:hAnsi="Palatino Linotype"/>
                <w:snapToGrid w:val="0"/>
                <w:color w:val="000000"/>
                <w:sz w:val="18"/>
                <w:lang w:val="en-US" w:eastAsia="de-DE" w:bidi="en-US"/>
              </w:rPr>
            </w:pPr>
            <w:r w:rsidRPr="005005DE">
              <w:rPr>
                <w:rFonts w:ascii="Palatino Linotype" w:eastAsia="Times New Roman" w:hAnsi="Palatino Linotype"/>
                <w:snapToGrid w:val="0"/>
                <w:color w:val="000000"/>
                <w:sz w:val="18"/>
                <w:lang w:val="en-US" w:eastAsia="de-DE" w:bidi="en-US"/>
              </w:rPr>
              <w:t>Net Present Value</w:t>
            </w:r>
          </w:p>
        </w:tc>
        <w:tc>
          <w:tcPr>
            <w:tcW w:w="4588" w:type="dxa"/>
            <w:gridSpan w:val="2"/>
            <w:shd w:val="clear" w:color="auto" w:fill="FBE4D5" w:themeFill="accent2" w:themeFillTint="33"/>
          </w:tcPr>
          <w:p w14:paraId="266BD165" w14:textId="77777777" w:rsidR="00932CE4" w:rsidRPr="005005DE" w:rsidRDefault="00932CE4" w:rsidP="00780387">
            <w:pPr>
              <w:adjustRightInd w:val="0"/>
              <w:snapToGrid w:val="0"/>
              <w:jc w:val="both"/>
              <w:rPr>
                <w:rFonts w:ascii="Palatino Linotype" w:eastAsia="Times New Roman" w:hAnsi="Palatino Linotype"/>
                <w:snapToGrid w:val="0"/>
                <w:color w:val="000000"/>
                <w:sz w:val="18"/>
                <w:lang w:val="en-US" w:eastAsia="de-DE" w:bidi="en-US"/>
              </w:rPr>
            </w:pPr>
            <w:r w:rsidRPr="005005DE">
              <w:rPr>
                <w:rFonts w:ascii="Palatino Linotype" w:eastAsia="Times New Roman" w:hAnsi="Palatino Linotype"/>
                <w:snapToGrid w:val="0"/>
                <w:color w:val="000000"/>
                <w:sz w:val="18"/>
                <w:lang w:val="en-US" w:eastAsia="de-DE" w:bidi="en-US"/>
              </w:rPr>
              <w:t>£-26,156,509.90</w:t>
            </w:r>
          </w:p>
        </w:tc>
        <w:tc>
          <w:tcPr>
            <w:tcW w:w="2646" w:type="dxa"/>
            <w:gridSpan w:val="2"/>
            <w:shd w:val="clear" w:color="auto" w:fill="FBE4D5" w:themeFill="accent2" w:themeFillTint="33"/>
          </w:tcPr>
          <w:p w14:paraId="114CD394" w14:textId="77777777" w:rsidR="00932CE4" w:rsidRPr="005005DE" w:rsidRDefault="00932CE4" w:rsidP="00780387">
            <w:pPr>
              <w:adjustRightInd w:val="0"/>
              <w:snapToGrid w:val="0"/>
              <w:jc w:val="both"/>
              <w:rPr>
                <w:rFonts w:ascii="Palatino Linotype" w:eastAsia="Times New Roman" w:hAnsi="Palatino Linotype"/>
                <w:snapToGrid w:val="0"/>
                <w:color w:val="000000"/>
                <w:sz w:val="18"/>
                <w:lang w:val="en-US" w:eastAsia="de-DE" w:bidi="en-US"/>
              </w:rPr>
            </w:pPr>
            <w:r w:rsidRPr="005005DE">
              <w:rPr>
                <w:rFonts w:ascii="Palatino Linotype" w:eastAsia="Times New Roman" w:hAnsi="Palatino Linotype"/>
                <w:snapToGrid w:val="0"/>
                <w:color w:val="000000"/>
                <w:sz w:val="18"/>
                <w:lang w:val="en-US" w:eastAsia="de-DE" w:bidi="en-US"/>
              </w:rPr>
              <w:t>£22,002,011.72</w:t>
            </w:r>
            <w:r w:rsidRPr="005005DE">
              <w:rPr>
                <w:rFonts w:ascii="Palatino Linotype" w:eastAsia="Times New Roman" w:hAnsi="Palatino Linotype"/>
                <w:snapToGrid w:val="0"/>
                <w:color w:val="000000"/>
                <w:sz w:val="18"/>
                <w:lang w:val="en-US" w:eastAsia="de-DE" w:bidi="en-US"/>
              </w:rPr>
              <w:tab/>
            </w:r>
            <w:r w:rsidRPr="005005DE">
              <w:rPr>
                <w:rFonts w:ascii="Palatino Linotype" w:eastAsia="Times New Roman" w:hAnsi="Palatino Linotype"/>
                <w:snapToGrid w:val="0"/>
                <w:color w:val="000000"/>
                <w:sz w:val="18"/>
                <w:lang w:val="en-US" w:eastAsia="de-DE" w:bidi="en-US"/>
              </w:rPr>
              <w:tab/>
            </w:r>
            <w:r w:rsidRPr="005005DE">
              <w:rPr>
                <w:rFonts w:ascii="Palatino Linotype" w:eastAsia="Times New Roman" w:hAnsi="Palatino Linotype"/>
                <w:snapToGrid w:val="0"/>
                <w:color w:val="000000"/>
                <w:sz w:val="18"/>
                <w:lang w:val="en-US" w:eastAsia="de-DE" w:bidi="en-US"/>
              </w:rPr>
              <w:tab/>
            </w:r>
          </w:p>
        </w:tc>
      </w:tr>
    </w:tbl>
    <w:p w14:paraId="4E673E2A" w14:textId="77777777" w:rsidR="00BE3E84" w:rsidRDefault="00BE3E84" w:rsidP="00BE3E84">
      <w:pPr>
        <w:spacing w:after="0"/>
        <w:ind w:left="454"/>
        <w:rPr>
          <w:rFonts w:ascii="Palatino Linotype" w:hAnsi="Palatino Linotype"/>
          <w:sz w:val="20"/>
          <w:lang w:bidi="en-US"/>
        </w:rPr>
      </w:pPr>
    </w:p>
    <w:p w14:paraId="513BC657" w14:textId="72D20D33" w:rsidR="000162CF" w:rsidRDefault="00932CE4" w:rsidP="009370EF">
      <w:pPr>
        <w:spacing w:after="0"/>
        <w:ind w:left="454"/>
        <w:rPr>
          <w:rFonts w:ascii="Palatino Linotype" w:hAnsi="Palatino Linotype"/>
          <w:sz w:val="20"/>
          <w:lang w:bidi="en-US"/>
        </w:rPr>
      </w:pPr>
      <w:r w:rsidRPr="00BE3E84">
        <w:rPr>
          <w:rFonts w:ascii="Palatino Linotype" w:hAnsi="Palatino Linotype"/>
          <w:sz w:val="20"/>
          <w:lang w:bidi="en-US"/>
        </w:rPr>
        <w:lastRenderedPageBreak/>
        <w:t xml:space="preserve">With these considerations in mind, it is not surprising that the wholesale scenario has a much higher NPV than the MAPE scenario purely due to lack of costs, whereas currently, the MAPE costs exceed the </w:t>
      </w:r>
      <w:r w:rsidR="00F128E7" w:rsidRPr="00BE3E84">
        <w:rPr>
          <w:rFonts w:ascii="Palatino Linotype" w:hAnsi="Palatino Linotype"/>
          <w:sz w:val="20"/>
          <w:lang w:bidi="en-US"/>
        </w:rPr>
        <w:t>benefit received from pectin sales, even over a 20-year period</w:t>
      </w:r>
      <w:r w:rsidRPr="00BE3E84">
        <w:rPr>
          <w:rFonts w:ascii="Palatino Linotype" w:hAnsi="Palatino Linotype"/>
          <w:sz w:val="20"/>
          <w:lang w:bidi="en-US"/>
        </w:rPr>
        <w:t xml:space="preserve">. </w:t>
      </w:r>
    </w:p>
    <w:p w14:paraId="7F514C1E" w14:textId="77777777" w:rsidR="009370EF" w:rsidRDefault="009370EF" w:rsidP="009370EF">
      <w:pPr>
        <w:spacing w:after="0"/>
        <w:ind w:left="454"/>
        <w:rPr>
          <w:rFonts w:ascii="Palatino Linotype" w:hAnsi="Palatino Linotype"/>
          <w:sz w:val="20"/>
          <w:lang w:bidi="en-US"/>
        </w:rPr>
      </w:pPr>
    </w:p>
    <w:p w14:paraId="4A928524" w14:textId="77777777" w:rsidR="009370EF" w:rsidRDefault="00932CE4" w:rsidP="009370EF">
      <w:pPr>
        <w:spacing w:after="0"/>
        <w:ind w:left="454"/>
        <w:rPr>
          <w:rFonts w:ascii="Palatino Linotype" w:hAnsi="Palatino Linotype"/>
          <w:sz w:val="20"/>
          <w:lang w:bidi="en-US"/>
        </w:rPr>
      </w:pPr>
      <w:r w:rsidRPr="00BE3E84">
        <w:rPr>
          <w:rFonts w:ascii="Palatino Linotype" w:hAnsi="Palatino Linotype"/>
          <w:sz w:val="20"/>
          <w:lang w:bidi="en-US"/>
        </w:rPr>
        <w:t xml:space="preserve">Environmental sub-criteria for each scenario were calculated using </w:t>
      </w:r>
      <w:proofErr w:type="spellStart"/>
      <w:r w:rsidRPr="00BE3E84">
        <w:rPr>
          <w:rFonts w:ascii="Palatino Linotype" w:hAnsi="Palatino Linotype"/>
          <w:sz w:val="20"/>
          <w:lang w:bidi="en-US"/>
        </w:rPr>
        <w:t>SimaPro</w:t>
      </w:r>
      <w:proofErr w:type="spellEnd"/>
      <w:r w:rsidRPr="00BE3E84">
        <w:rPr>
          <w:rFonts w:ascii="Palatino Linotype" w:hAnsi="Palatino Linotype"/>
          <w:sz w:val="20"/>
          <w:lang w:bidi="en-US"/>
        </w:rPr>
        <w:t xml:space="preserve"> 8.5.2</w:t>
      </w:r>
      <w:r w:rsidR="00F20062">
        <w:rPr>
          <w:rFonts w:ascii="Palatino Linotype" w:hAnsi="Palatino Linotype"/>
          <w:sz w:val="20"/>
          <w:lang w:bidi="en-US"/>
        </w:rPr>
        <w:t xml:space="preserve"> </w:t>
      </w:r>
      <w:r w:rsidR="00F20062" w:rsidRPr="00F20062">
        <w:rPr>
          <w:rFonts w:ascii="Palatino Linotype" w:hAnsi="Palatino Linotype"/>
          <w:sz w:val="20"/>
          <w:lang w:bidi="en-US"/>
        </w:rPr>
        <w:t>(</w:t>
      </w:r>
      <w:proofErr w:type="spellStart"/>
      <w:r w:rsidR="00F20062" w:rsidRPr="00F20062">
        <w:rPr>
          <w:rFonts w:ascii="Palatino Linotype" w:hAnsi="Palatino Linotype"/>
          <w:sz w:val="20"/>
          <w:lang w:bidi="en-US"/>
        </w:rPr>
        <w:t>PRé</w:t>
      </w:r>
      <w:proofErr w:type="spellEnd"/>
      <w:r w:rsidR="00F20062" w:rsidRPr="00F20062">
        <w:rPr>
          <w:rFonts w:ascii="Palatino Linotype" w:hAnsi="Palatino Linotype"/>
          <w:sz w:val="20"/>
          <w:lang w:bidi="en-US"/>
        </w:rPr>
        <w:t xml:space="preserve"> Sustainability)</w:t>
      </w:r>
      <w:r w:rsidR="008D4530">
        <w:rPr>
          <w:rFonts w:ascii="Palatino Linotype" w:hAnsi="Palatino Linotype"/>
          <w:sz w:val="20"/>
          <w:lang w:bidi="en-US"/>
        </w:rPr>
        <w:t xml:space="preserve">. </w:t>
      </w:r>
      <w:r w:rsidR="008D4530" w:rsidRPr="008D4530">
        <w:rPr>
          <w:rFonts w:ascii="Palatino Linotype" w:hAnsi="Palatino Linotype"/>
          <w:sz w:val="20"/>
          <w:lang w:bidi="en-US"/>
        </w:rPr>
        <w:t>ecoinvent 3.4 database</w:t>
      </w:r>
      <w:r w:rsidR="008D4530">
        <w:rPr>
          <w:rFonts w:ascii="Palatino Linotype" w:hAnsi="Palatino Linotype"/>
          <w:sz w:val="20"/>
          <w:lang w:bidi="en-US"/>
        </w:rPr>
        <w:t xml:space="preserve"> and</w:t>
      </w:r>
      <w:bookmarkStart w:id="5" w:name="_Hlk1578476"/>
      <w:r w:rsidR="008D4530" w:rsidRPr="008D4530">
        <w:rPr>
          <w:rFonts w:ascii="Palatino Linotype" w:hAnsi="Palatino Linotype"/>
          <w:sz w:val="20"/>
          <w:lang w:bidi="en-US"/>
        </w:rPr>
        <w:t xml:space="preserve"> </w:t>
      </w:r>
      <w:r w:rsidR="000D2BF0" w:rsidRPr="000D2BF0">
        <w:rPr>
          <w:rFonts w:ascii="Palatino Linotype" w:hAnsi="Palatino Linotype"/>
          <w:sz w:val="20"/>
          <w:lang w:bidi="en-US"/>
        </w:rPr>
        <w:t>“Allocation at the point of substitution” (APOS)</w:t>
      </w:r>
      <w:r w:rsidR="000D2BF0">
        <w:rPr>
          <w:rFonts w:ascii="Palatino Linotype" w:hAnsi="Palatino Linotype"/>
          <w:sz w:val="20"/>
          <w:lang w:bidi="en-US"/>
        </w:rPr>
        <w:t xml:space="preserve"> materials and processes were used to build the inventory. </w:t>
      </w:r>
      <w:r w:rsidR="009370EF">
        <w:rPr>
          <w:rFonts w:ascii="Palatino Linotype" w:hAnsi="Palatino Linotype"/>
          <w:sz w:val="20"/>
          <w:lang w:bidi="en-US"/>
        </w:rPr>
        <w:t xml:space="preserve">As for the Cost-Benefit Analysis, the functional unit was defined as </w:t>
      </w:r>
      <w:r w:rsidR="009370EF" w:rsidRPr="00322233">
        <w:rPr>
          <w:rFonts w:ascii="Palatino Linotype" w:hAnsi="Palatino Linotype"/>
          <w:sz w:val="20"/>
          <w:lang w:bidi="en-US"/>
        </w:rPr>
        <w:t xml:space="preserve">3,459,967 kg of citrus waste </w:t>
      </w:r>
      <w:r w:rsidR="009370EF">
        <w:rPr>
          <w:rFonts w:ascii="Palatino Linotype" w:hAnsi="Palatino Linotype"/>
          <w:sz w:val="20"/>
          <w:lang w:bidi="en-US"/>
        </w:rPr>
        <w:t>managed</w:t>
      </w:r>
      <w:r w:rsidR="009370EF" w:rsidRPr="00322233">
        <w:rPr>
          <w:rFonts w:ascii="Palatino Linotype" w:hAnsi="Palatino Linotype"/>
          <w:sz w:val="20"/>
          <w:lang w:bidi="en-US"/>
        </w:rPr>
        <w:t>, which is the quantity of 2</w:t>
      </w:r>
      <w:r w:rsidR="009370EF" w:rsidRPr="00322233">
        <w:rPr>
          <w:rFonts w:ascii="Palatino Linotype" w:hAnsi="Palatino Linotype"/>
          <w:sz w:val="20"/>
          <w:vertAlign w:val="superscript"/>
          <w:lang w:bidi="en-US"/>
        </w:rPr>
        <w:t>nd</w:t>
      </w:r>
      <w:r w:rsidR="009370EF">
        <w:rPr>
          <w:rFonts w:ascii="Palatino Linotype" w:hAnsi="Palatino Linotype"/>
          <w:sz w:val="20"/>
          <w:lang w:bidi="en-US"/>
        </w:rPr>
        <w:t xml:space="preserve"> </w:t>
      </w:r>
      <w:r w:rsidR="009370EF" w:rsidRPr="00322233">
        <w:rPr>
          <w:rFonts w:ascii="Palatino Linotype" w:hAnsi="Palatino Linotype"/>
          <w:sz w:val="20"/>
          <w:lang w:bidi="en-US"/>
        </w:rPr>
        <w:t>class citrus waste generated by CF in a year</w:t>
      </w:r>
      <w:r w:rsidR="009370EF">
        <w:rPr>
          <w:rFonts w:ascii="Palatino Linotype" w:hAnsi="Palatino Linotype"/>
          <w:sz w:val="20"/>
          <w:lang w:bidi="en-US"/>
        </w:rPr>
        <w:t xml:space="preserve">. A </w:t>
      </w:r>
      <w:r w:rsidR="009370EF" w:rsidRPr="005B0AB8">
        <w:rPr>
          <w:rFonts w:ascii="Palatino Linotype" w:hAnsi="Palatino Linotype"/>
          <w:sz w:val="20"/>
          <w:lang w:bidi="en-US"/>
        </w:rPr>
        <w:t xml:space="preserve">burden-free approach </w:t>
      </w:r>
      <w:r w:rsidR="009370EF">
        <w:rPr>
          <w:rFonts w:ascii="Palatino Linotype" w:hAnsi="Palatino Linotype"/>
          <w:sz w:val="20"/>
          <w:lang w:bidi="en-US"/>
        </w:rPr>
        <w:t>was used</w:t>
      </w:r>
      <w:r w:rsidR="009370EF" w:rsidRPr="005B0AB8">
        <w:rPr>
          <w:rFonts w:ascii="Palatino Linotype" w:hAnsi="Palatino Linotype"/>
          <w:sz w:val="20"/>
          <w:lang w:bidi="en-US"/>
        </w:rPr>
        <w:t xml:space="preserve"> to allocate all environmental impacts to products </w:t>
      </w:r>
      <w:r w:rsidR="009370EF">
        <w:rPr>
          <w:rFonts w:ascii="Palatino Linotype" w:hAnsi="Palatino Linotype"/>
          <w:sz w:val="20"/>
          <w:lang w:bidi="en-US"/>
        </w:rPr>
        <w:t xml:space="preserve">sold by CF </w:t>
      </w:r>
      <w:r w:rsidR="009370EF" w:rsidRPr="005B0AB8">
        <w:rPr>
          <w:rFonts w:ascii="Palatino Linotype" w:hAnsi="Palatino Linotype"/>
          <w:sz w:val="20"/>
          <w:lang w:bidi="en-US"/>
        </w:rPr>
        <w:t>and none to wastes that enter the wa</w:t>
      </w:r>
      <w:r w:rsidR="009370EF">
        <w:rPr>
          <w:rFonts w:ascii="Palatino Linotype" w:hAnsi="Palatino Linotype"/>
          <w:sz w:val="20"/>
          <w:lang w:bidi="en-US"/>
        </w:rPr>
        <w:t>ste</w:t>
      </w:r>
      <w:r w:rsidR="009370EF" w:rsidRPr="005B0AB8">
        <w:rPr>
          <w:rFonts w:ascii="Palatino Linotype" w:hAnsi="Palatino Linotype"/>
          <w:sz w:val="20"/>
          <w:lang w:bidi="en-US"/>
        </w:rPr>
        <w:t xml:space="preserve"> management system</w:t>
      </w:r>
      <w:r w:rsidR="009370EF">
        <w:rPr>
          <w:rFonts w:ascii="Palatino Linotype" w:hAnsi="Palatino Linotype"/>
          <w:sz w:val="20"/>
          <w:lang w:bidi="en-US"/>
        </w:rPr>
        <w:t>. The systems boundaries were defined to consider all processes needed to manage 2</w:t>
      </w:r>
      <w:r w:rsidR="009370EF" w:rsidRPr="00975A6C">
        <w:rPr>
          <w:rFonts w:ascii="Palatino Linotype" w:hAnsi="Palatino Linotype"/>
          <w:sz w:val="20"/>
          <w:vertAlign w:val="superscript"/>
          <w:lang w:bidi="en-US"/>
        </w:rPr>
        <w:t>nd</w:t>
      </w:r>
      <w:r w:rsidR="009370EF">
        <w:rPr>
          <w:rFonts w:ascii="Palatino Linotype" w:hAnsi="Palatino Linotype"/>
          <w:sz w:val="20"/>
          <w:lang w:bidi="en-US"/>
        </w:rPr>
        <w:t xml:space="preserve"> class citrus waste, i.e. transportation and MAPE processes, including </w:t>
      </w:r>
      <w:r w:rsidR="009370EF" w:rsidRPr="00975A6C">
        <w:rPr>
          <w:rFonts w:ascii="Palatino Linotype" w:hAnsi="Palatino Linotype"/>
          <w:sz w:val="20"/>
          <w:lang w:bidi="en-US"/>
        </w:rPr>
        <w:t>emissions and resource depletion associated with the materials and processes used in th</w:t>
      </w:r>
      <w:r w:rsidR="009370EF">
        <w:rPr>
          <w:rFonts w:ascii="Palatino Linotype" w:hAnsi="Palatino Linotype"/>
          <w:sz w:val="20"/>
          <w:lang w:bidi="en-US"/>
        </w:rPr>
        <w:t>ese processes</w:t>
      </w:r>
      <w:r w:rsidR="009370EF" w:rsidRPr="00975A6C">
        <w:rPr>
          <w:rFonts w:ascii="Palatino Linotype" w:hAnsi="Palatino Linotype"/>
          <w:sz w:val="20"/>
          <w:lang w:bidi="en-US"/>
        </w:rPr>
        <w:t>, e.g. electricity and water.</w:t>
      </w:r>
      <w:r w:rsidR="009370EF">
        <w:rPr>
          <w:rFonts w:ascii="Palatino Linotype" w:hAnsi="Palatino Linotype"/>
          <w:sz w:val="20"/>
          <w:lang w:bidi="en-US"/>
        </w:rPr>
        <w:t xml:space="preserve"> Management of the residues generated in the processes, e.g. wastewater, is included within the scope of the study. </w:t>
      </w:r>
      <w:r w:rsidR="000D2BF0">
        <w:rPr>
          <w:rFonts w:ascii="Palatino Linotype" w:hAnsi="Palatino Linotype"/>
          <w:sz w:val="20"/>
          <w:lang w:bidi="en-US"/>
        </w:rPr>
        <w:t>T</w:t>
      </w:r>
      <w:r w:rsidR="008D4530" w:rsidRPr="008D4530">
        <w:rPr>
          <w:rFonts w:ascii="Palatino Linotype" w:hAnsi="Palatino Linotype"/>
          <w:sz w:val="20"/>
          <w:lang w:bidi="en-US"/>
        </w:rPr>
        <w:t xml:space="preserve">he International Reference Life Cycle Data System ILCD 2011 Midpoint+ V.1.10 impact assessment </w:t>
      </w:r>
      <w:r w:rsidRPr="00BE3E84">
        <w:rPr>
          <w:rFonts w:ascii="Palatino Linotype" w:hAnsi="Palatino Linotype"/>
          <w:sz w:val="20"/>
          <w:lang w:bidi="en-US"/>
        </w:rPr>
        <w:t>method</w:t>
      </w:r>
      <w:bookmarkEnd w:id="5"/>
      <w:r w:rsidR="008D4530">
        <w:rPr>
          <w:rFonts w:ascii="Palatino Linotype" w:hAnsi="Palatino Linotype"/>
          <w:sz w:val="20"/>
          <w:lang w:bidi="en-US"/>
        </w:rPr>
        <w:t xml:space="preserve"> </w:t>
      </w:r>
      <w:r w:rsidR="000D2BF0">
        <w:rPr>
          <w:rFonts w:ascii="Palatino Linotype" w:hAnsi="Palatino Linotype"/>
          <w:sz w:val="20"/>
          <w:lang w:bidi="en-US"/>
        </w:rPr>
        <w:t>was</w:t>
      </w:r>
      <w:r w:rsidR="008D4530">
        <w:rPr>
          <w:rFonts w:ascii="Palatino Linotype" w:hAnsi="Palatino Linotype"/>
          <w:sz w:val="20"/>
          <w:lang w:bidi="en-US"/>
        </w:rPr>
        <w:t xml:space="preserve"> used </w:t>
      </w:r>
      <w:r w:rsidR="000D2BF0">
        <w:rPr>
          <w:rFonts w:ascii="Palatino Linotype" w:hAnsi="Palatino Linotype"/>
          <w:sz w:val="20"/>
          <w:lang w:bidi="en-US"/>
        </w:rPr>
        <w:t>to calculate environmental impact indicators</w:t>
      </w:r>
      <w:r w:rsidRPr="00BE3E84">
        <w:rPr>
          <w:rFonts w:ascii="Palatino Linotype" w:hAnsi="Palatino Linotype"/>
          <w:sz w:val="20"/>
          <w:lang w:bidi="en-US"/>
        </w:rPr>
        <w:t xml:space="preserve">. </w:t>
      </w:r>
    </w:p>
    <w:p w14:paraId="192EE855" w14:textId="77777777" w:rsidR="009370EF" w:rsidRDefault="009370EF" w:rsidP="009370EF">
      <w:pPr>
        <w:spacing w:after="0"/>
        <w:ind w:left="454"/>
        <w:rPr>
          <w:rFonts w:ascii="Palatino Linotype" w:hAnsi="Palatino Linotype"/>
          <w:sz w:val="20"/>
          <w:lang w:bidi="en-US"/>
        </w:rPr>
      </w:pPr>
    </w:p>
    <w:p w14:paraId="4597C3DC" w14:textId="720A88CC" w:rsidR="00F128E7" w:rsidRPr="00BE3E84" w:rsidRDefault="00932CE4" w:rsidP="009370EF">
      <w:pPr>
        <w:spacing w:after="0"/>
        <w:ind w:left="454"/>
        <w:rPr>
          <w:rFonts w:ascii="Palatino Linotype" w:hAnsi="Palatino Linotype"/>
          <w:sz w:val="20"/>
          <w:lang w:bidi="en-US"/>
        </w:rPr>
      </w:pPr>
      <w:r w:rsidRPr="00BE3E84">
        <w:rPr>
          <w:rFonts w:ascii="Palatino Linotype" w:hAnsi="Palatino Linotype"/>
          <w:sz w:val="20"/>
          <w:lang w:bidi="en-US"/>
        </w:rPr>
        <w:t xml:space="preserve">It is important to note </w:t>
      </w:r>
      <w:r w:rsidR="008D4530" w:rsidRPr="00BE3E84">
        <w:rPr>
          <w:rFonts w:ascii="Palatino Linotype" w:hAnsi="Palatino Linotype"/>
          <w:sz w:val="20"/>
          <w:lang w:bidi="en-US"/>
        </w:rPr>
        <w:t xml:space="preserve">that human toxicity potential includes cancer and non-cancer inducing toxicity and that eutrophication potential and ecotoxicity are both </w:t>
      </w:r>
      <w:r w:rsidRPr="00BE3E84">
        <w:rPr>
          <w:rFonts w:ascii="Palatino Linotype" w:hAnsi="Palatino Linotype"/>
          <w:sz w:val="20"/>
          <w:lang w:bidi="en-US"/>
        </w:rPr>
        <w:t xml:space="preserve">from a freshwater perspective only. For the wholesale scenario, additional environmental impact (i.e. that which would not be incurred by CF as a result of normal day to day actions) was from transport to market. Therefore, </w:t>
      </w:r>
      <w:r w:rsidR="008D4530">
        <w:rPr>
          <w:rFonts w:ascii="Palatino Linotype" w:hAnsi="Palatino Linotype"/>
          <w:sz w:val="20"/>
          <w:lang w:bidi="en-US"/>
        </w:rPr>
        <w:t xml:space="preserve">the </w:t>
      </w:r>
      <w:r w:rsidRPr="00BE3E84">
        <w:rPr>
          <w:rFonts w:ascii="Palatino Linotype" w:hAnsi="Palatino Linotype"/>
          <w:sz w:val="20"/>
          <w:lang w:bidi="en-US"/>
        </w:rPr>
        <w:t>calculation of environmental criteria was based upon a Euro 6 class lorry (larger than 36 metric ton) with refrigerated trailer carrying an average of 4613.2893</w:t>
      </w:r>
      <w:r w:rsidR="00086E6A">
        <w:rPr>
          <w:rFonts w:ascii="Palatino Linotype" w:hAnsi="Palatino Linotype"/>
          <w:sz w:val="20"/>
          <w:lang w:bidi="en-US"/>
        </w:rPr>
        <w:t xml:space="preserve"> </w:t>
      </w:r>
      <w:r w:rsidRPr="00BE3E84">
        <w:rPr>
          <w:rFonts w:ascii="Palatino Linotype" w:hAnsi="Palatino Linotype"/>
          <w:sz w:val="20"/>
          <w:lang w:bidi="en-US"/>
        </w:rPr>
        <w:t>kg, 15 times a week, 50 times a year to account for all 2</w:t>
      </w:r>
      <w:r w:rsidRPr="00D83AB7">
        <w:rPr>
          <w:rFonts w:ascii="Palatino Linotype" w:hAnsi="Palatino Linotype"/>
          <w:sz w:val="20"/>
          <w:vertAlign w:val="superscript"/>
          <w:lang w:bidi="en-US"/>
        </w:rPr>
        <w:t>nd</w:t>
      </w:r>
      <w:r w:rsidR="00D83AB7">
        <w:rPr>
          <w:rFonts w:ascii="Palatino Linotype" w:hAnsi="Palatino Linotype"/>
          <w:sz w:val="20"/>
          <w:lang w:bidi="en-US"/>
        </w:rPr>
        <w:t xml:space="preserve"> </w:t>
      </w:r>
      <w:r w:rsidRPr="00BE3E84">
        <w:rPr>
          <w:rFonts w:ascii="Palatino Linotype" w:hAnsi="Palatino Linotype"/>
          <w:sz w:val="20"/>
          <w:lang w:bidi="en-US"/>
        </w:rPr>
        <w:t>class fruit. For the MAPE scenario, additional environmental impact was based upon electricity, water and ethanol consumption. Results show that</w:t>
      </w:r>
      <w:r w:rsidR="008D4530">
        <w:rPr>
          <w:rFonts w:ascii="Palatino Linotype" w:hAnsi="Palatino Linotype"/>
          <w:sz w:val="20"/>
          <w:lang w:bidi="en-US"/>
        </w:rPr>
        <w:t>,</w:t>
      </w:r>
      <w:r w:rsidRPr="00BE3E84">
        <w:rPr>
          <w:rFonts w:ascii="Palatino Linotype" w:hAnsi="Palatino Linotype"/>
          <w:sz w:val="20"/>
          <w:lang w:bidi="en-US"/>
        </w:rPr>
        <w:t xml:space="preserve"> currently, wholesale of 2</w:t>
      </w:r>
      <w:r w:rsidRPr="00D83AB7">
        <w:rPr>
          <w:rFonts w:ascii="Palatino Linotype" w:hAnsi="Palatino Linotype"/>
          <w:sz w:val="20"/>
          <w:vertAlign w:val="superscript"/>
          <w:lang w:bidi="en-US"/>
        </w:rPr>
        <w:t>nd</w:t>
      </w:r>
      <w:r w:rsidR="00D83AB7">
        <w:rPr>
          <w:rFonts w:ascii="Palatino Linotype" w:hAnsi="Palatino Linotype"/>
          <w:sz w:val="20"/>
          <w:lang w:bidi="en-US"/>
        </w:rPr>
        <w:t xml:space="preserve"> </w:t>
      </w:r>
      <w:r w:rsidRPr="00BE3E84">
        <w:rPr>
          <w:rFonts w:ascii="Palatino Linotype" w:hAnsi="Palatino Linotype"/>
          <w:sz w:val="20"/>
          <w:lang w:bidi="en-US"/>
        </w:rPr>
        <w:t>citrus waste has superior environmental performance, but this is largely because the main environmental impacts from wholesale relate only to transport, whilst the MAPE process by nature also involves some processing of the waste citrus, leading to the relatively larger impacts across all environmental sub-criteria.</w:t>
      </w:r>
    </w:p>
    <w:p w14:paraId="734A7A24" w14:textId="77777777" w:rsidR="00F128E7" w:rsidRPr="00BE3E84" w:rsidRDefault="00F128E7" w:rsidP="00BE3E84">
      <w:pPr>
        <w:spacing w:after="0"/>
        <w:ind w:left="454"/>
        <w:rPr>
          <w:rFonts w:ascii="Palatino Linotype" w:hAnsi="Palatino Linotype"/>
          <w:sz w:val="20"/>
          <w:lang w:bidi="en-US"/>
        </w:rPr>
      </w:pPr>
    </w:p>
    <w:p w14:paraId="57E03FD8" w14:textId="1A683F33" w:rsidR="00932CE4" w:rsidRPr="00BE3E84" w:rsidRDefault="00932CE4" w:rsidP="00BE3E84">
      <w:pPr>
        <w:spacing w:after="0"/>
        <w:ind w:left="454"/>
        <w:rPr>
          <w:rFonts w:ascii="Palatino Linotype" w:hAnsi="Palatino Linotype"/>
          <w:sz w:val="20"/>
          <w:lang w:bidi="en-US"/>
        </w:rPr>
      </w:pPr>
      <w:r w:rsidRPr="00BE3E84">
        <w:rPr>
          <w:rFonts w:ascii="Palatino Linotype" w:hAnsi="Palatino Linotype"/>
          <w:sz w:val="20"/>
          <w:lang w:bidi="en-US"/>
        </w:rPr>
        <w:t>The values for social, technology readiness level and company fit were provided by CF during the interview process</w:t>
      </w:r>
      <w:r w:rsidR="00F128E7" w:rsidRPr="00BE3E84">
        <w:rPr>
          <w:rFonts w:ascii="Palatino Linotype" w:hAnsi="Palatino Linotype"/>
          <w:sz w:val="20"/>
          <w:lang w:bidi="en-US"/>
        </w:rPr>
        <w:t xml:space="preserve"> and did not require any processing before arriving at the values presented in Table 2</w:t>
      </w:r>
      <w:r w:rsidRPr="00BE3E84">
        <w:rPr>
          <w:rFonts w:ascii="Palatino Linotype" w:hAnsi="Palatino Linotype"/>
          <w:sz w:val="20"/>
          <w:lang w:bidi="en-US"/>
        </w:rPr>
        <w:t>.</w:t>
      </w:r>
      <w:r w:rsidR="00780387" w:rsidRPr="00BE3E84">
        <w:rPr>
          <w:rFonts w:ascii="Palatino Linotype" w:hAnsi="Palatino Linotype"/>
          <w:sz w:val="20"/>
          <w:lang w:bidi="en-US"/>
        </w:rPr>
        <w:t xml:space="preserve"> The values in Table 2 were then assigned an equal weighting as shown in Table 4 before being normali</w:t>
      </w:r>
      <w:r w:rsidR="00D83AB7">
        <w:rPr>
          <w:rFonts w:ascii="Palatino Linotype" w:hAnsi="Palatino Linotype"/>
          <w:sz w:val="20"/>
          <w:lang w:bidi="en-US"/>
        </w:rPr>
        <w:t>z</w:t>
      </w:r>
      <w:r w:rsidR="00780387" w:rsidRPr="00BE3E84">
        <w:rPr>
          <w:rFonts w:ascii="Palatino Linotype" w:hAnsi="Palatino Linotype"/>
          <w:sz w:val="20"/>
          <w:lang w:bidi="en-US"/>
        </w:rPr>
        <w:t>ed using Equation 1 for non-beneficial criteria (e.g. environmental pollution) and Equation 2 for beneficial criteria (job creation) to arrive at the final values shown in Figure 1 (corresponding to Figure 4</w:t>
      </w:r>
      <w:r w:rsidR="00473A36" w:rsidRPr="00BE3E84">
        <w:rPr>
          <w:rFonts w:ascii="Palatino Linotype" w:hAnsi="Palatino Linotype"/>
          <w:sz w:val="20"/>
          <w:lang w:bidi="en-US"/>
        </w:rPr>
        <w:t xml:space="preserve"> </w:t>
      </w:r>
      <w:r w:rsidR="00780387" w:rsidRPr="00BE3E84">
        <w:rPr>
          <w:rFonts w:ascii="Palatino Linotype" w:hAnsi="Palatino Linotype"/>
          <w:sz w:val="20"/>
          <w:lang w:bidi="en-US"/>
        </w:rPr>
        <w:t>in the main article).</w:t>
      </w:r>
    </w:p>
    <w:p w14:paraId="1947112C" w14:textId="77777777" w:rsidR="00780387" w:rsidRDefault="00780387" w:rsidP="00932CE4">
      <w:pPr>
        <w:adjustRightInd w:val="0"/>
        <w:snapToGrid w:val="0"/>
        <w:spacing w:after="0" w:line="260" w:lineRule="atLeast"/>
        <w:ind w:firstLine="425"/>
        <w:jc w:val="both"/>
        <w:rPr>
          <w:rFonts w:ascii="Palatino Linotype" w:eastAsia="Times New Roman" w:hAnsi="Palatino Linotype" w:cs="Times New Roman"/>
          <w:snapToGrid w:val="0"/>
          <w:color w:val="000000"/>
          <w:sz w:val="20"/>
          <w:lang w:val="en-US" w:eastAsia="de-DE" w:bidi="en-US"/>
        </w:rPr>
      </w:pPr>
    </w:p>
    <w:p w14:paraId="47E95799" w14:textId="77777777" w:rsidR="00780387" w:rsidRPr="00332DBE" w:rsidRDefault="00780387" w:rsidP="00780387">
      <w:pPr>
        <w:adjustRightInd w:val="0"/>
        <w:snapToGrid w:val="0"/>
        <w:spacing w:before="120" w:after="120" w:line="260" w:lineRule="atLeast"/>
        <w:ind w:left="709"/>
        <w:jc w:val="center"/>
        <w:rPr>
          <w:rFonts w:ascii="Palatino Linotype" w:eastAsia="Times New Roman" w:hAnsi="Palatino Linotype" w:cs="Times New Roman"/>
          <w:snapToGrid w:val="0"/>
          <w:color w:val="000000"/>
          <w:sz w:val="20"/>
          <w:lang w:val="en-US" w:eastAsia="de-DE" w:bidi="en-US"/>
        </w:rPr>
      </w:pPr>
      <w:bookmarkStart w:id="6" w:name="_Hlk528596041"/>
      <m:oMath>
        <m:r>
          <w:rPr>
            <w:rFonts w:ascii="Cambria Math" w:eastAsia="Times New Roman" w:hAnsi="Cambria Math" w:cs="Times New Roman"/>
            <w:snapToGrid w:val="0"/>
            <w:color w:val="000000"/>
            <w:sz w:val="20"/>
            <w:lang w:val="en-US" w:eastAsia="de-DE" w:bidi="en-US"/>
          </w:rPr>
          <m:t>Vi</m:t>
        </m:r>
        <m:r>
          <m:rPr>
            <m:sty m:val="p"/>
          </m:rPr>
          <w:rPr>
            <w:rFonts w:ascii="Cambria Math" w:eastAsia="Times New Roman" w:hAnsi="Cambria Math" w:cs="Times New Roman"/>
            <w:snapToGrid w:val="0"/>
            <w:color w:val="000000"/>
            <w:sz w:val="20"/>
            <w:lang w:val="en-US" w:eastAsia="de-DE" w:bidi="en-US"/>
          </w:rPr>
          <m:t>=</m:t>
        </m:r>
        <m:f>
          <m:fPr>
            <m:ctrlPr>
              <w:rPr>
                <w:rFonts w:ascii="Cambria Math" w:eastAsia="Times New Roman" w:hAnsi="Cambria Math" w:cs="Times New Roman"/>
                <w:snapToGrid w:val="0"/>
                <w:color w:val="000000"/>
                <w:sz w:val="20"/>
                <w:lang w:val="en-US" w:eastAsia="de-DE" w:bidi="en-US"/>
              </w:rPr>
            </m:ctrlPr>
          </m:fPr>
          <m:num>
            <m:r>
              <m:rPr>
                <m:sty m:val="p"/>
              </m:rPr>
              <w:rPr>
                <w:rFonts w:ascii="Cambria Math" w:eastAsia="Times New Roman" w:hAnsi="Cambria Math" w:cs="Times New Roman"/>
                <w:snapToGrid w:val="0"/>
                <w:color w:val="000000"/>
                <w:sz w:val="20"/>
                <w:lang w:val="en-US" w:eastAsia="de-DE" w:bidi="en-US"/>
              </w:rPr>
              <m:t xml:space="preserve">min </m:t>
            </m:r>
            <m:r>
              <w:rPr>
                <w:rFonts w:ascii="Cambria Math" w:eastAsia="Times New Roman" w:hAnsi="Cambria Math" w:cs="Times New Roman"/>
                <w:snapToGrid w:val="0"/>
                <w:color w:val="000000"/>
                <w:sz w:val="20"/>
                <w:lang w:val="en-US" w:eastAsia="de-DE" w:bidi="en-US"/>
              </w:rPr>
              <m:t>Sij</m:t>
            </m:r>
          </m:num>
          <m:den>
            <m:r>
              <w:rPr>
                <w:rFonts w:ascii="Cambria Math" w:eastAsia="Times New Roman" w:hAnsi="Cambria Math" w:cs="Times New Roman"/>
                <w:snapToGrid w:val="0"/>
                <w:color w:val="000000"/>
                <w:sz w:val="20"/>
                <w:lang w:val="en-US" w:eastAsia="de-DE" w:bidi="en-US"/>
              </w:rPr>
              <m:t>Sij</m:t>
            </m:r>
          </m:den>
        </m:f>
        <m:r>
          <m:rPr>
            <m:sty m:val="p"/>
          </m:rPr>
          <w:rPr>
            <w:rFonts w:ascii="Cambria Math" w:eastAsia="Times New Roman" w:hAnsi="Cambria Math" w:cs="Times New Roman"/>
            <w:snapToGrid w:val="0"/>
            <w:color w:val="000000"/>
            <w:sz w:val="20"/>
            <w:lang w:val="en-US" w:eastAsia="de-DE" w:bidi="en-US"/>
          </w:rPr>
          <m:t xml:space="preserve"> </m:t>
        </m:r>
      </m:oMath>
      <w:bookmarkEnd w:id="6"/>
      <w:r w:rsidRPr="00332DBE">
        <w:rPr>
          <w:rFonts w:ascii="Palatino Linotype" w:eastAsia="Times New Roman" w:hAnsi="Palatino Linotype" w:cs="Times New Roman"/>
          <w:snapToGrid w:val="0"/>
          <w:color w:val="000000"/>
          <w:sz w:val="20"/>
          <w:lang w:val="en-US" w:eastAsia="de-DE" w:bidi="en-US"/>
        </w:rPr>
        <w:tab/>
        <w:t>Equation 1.</w:t>
      </w:r>
    </w:p>
    <w:p w14:paraId="5DD26079" w14:textId="77777777" w:rsidR="00780387" w:rsidRPr="00332DBE" w:rsidRDefault="00780387" w:rsidP="00780387">
      <w:pPr>
        <w:adjustRightInd w:val="0"/>
        <w:snapToGrid w:val="0"/>
        <w:spacing w:before="120" w:after="120" w:line="260" w:lineRule="atLeast"/>
        <w:ind w:left="709"/>
        <w:jc w:val="center"/>
        <w:rPr>
          <w:rFonts w:ascii="Palatino Linotype" w:eastAsia="Times New Roman" w:hAnsi="Palatino Linotype" w:cs="Times New Roman"/>
          <w:snapToGrid w:val="0"/>
          <w:color w:val="000000"/>
          <w:sz w:val="20"/>
          <w:lang w:val="en-US" w:eastAsia="de-DE" w:bidi="en-US"/>
        </w:rPr>
      </w:pPr>
      <m:oMath>
        <m:r>
          <w:rPr>
            <w:rFonts w:ascii="Cambria Math" w:eastAsia="Times New Roman" w:hAnsi="Cambria Math" w:cs="Times New Roman"/>
            <w:snapToGrid w:val="0"/>
            <w:color w:val="000000"/>
            <w:sz w:val="20"/>
            <w:lang w:val="en-US" w:eastAsia="de-DE" w:bidi="en-US"/>
          </w:rPr>
          <m:t>Vi</m:t>
        </m:r>
        <m:r>
          <m:rPr>
            <m:sty m:val="p"/>
          </m:rPr>
          <w:rPr>
            <w:rFonts w:ascii="Cambria Math" w:eastAsia="Times New Roman" w:hAnsi="Cambria Math" w:cs="Times New Roman"/>
            <w:snapToGrid w:val="0"/>
            <w:color w:val="000000"/>
            <w:sz w:val="20"/>
            <w:lang w:val="en-US" w:eastAsia="de-DE" w:bidi="en-US"/>
          </w:rPr>
          <m:t>=</m:t>
        </m:r>
        <m:f>
          <m:fPr>
            <m:ctrlPr>
              <w:rPr>
                <w:rFonts w:ascii="Cambria Math" w:eastAsia="Times New Roman" w:hAnsi="Cambria Math" w:cs="Times New Roman"/>
                <w:snapToGrid w:val="0"/>
                <w:color w:val="000000"/>
                <w:sz w:val="20"/>
                <w:lang w:val="en-US" w:eastAsia="de-DE" w:bidi="en-US"/>
              </w:rPr>
            </m:ctrlPr>
          </m:fPr>
          <m:num>
            <m:r>
              <m:rPr>
                <m:sty m:val="p"/>
              </m:rPr>
              <w:rPr>
                <w:rFonts w:ascii="Cambria Math" w:eastAsia="Times New Roman" w:hAnsi="Cambria Math" w:cs="Times New Roman"/>
                <w:snapToGrid w:val="0"/>
                <w:color w:val="000000"/>
                <w:sz w:val="20"/>
                <w:lang w:val="en-US" w:eastAsia="de-DE" w:bidi="en-US"/>
              </w:rPr>
              <m:t xml:space="preserve"> </m:t>
            </m:r>
            <m:r>
              <w:rPr>
                <w:rFonts w:ascii="Cambria Math" w:eastAsia="Times New Roman" w:hAnsi="Cambria Math" w:cs="Times New Roman"/>
                <w:snapToGrid w:val="0"/>
                <w:color w:val="000000"/>
                <w:sz w:val="20"/>
                <w:lang w:val="en-US" w:eastAsia="de-DE" w:bidi="en-US"/>
              </w:rPr>
              <m:t>Sij</m:t>
            </m:r>
          </m:num>
          <m:den>
            <m:r>
              <w:rPr>
                <w:rFonts w:ascii="Cambria Math" w:eastAsia="Times New Roman" w:hAnsi="Cambria Math" w:cs="Times New Roman"/>
                <w:snapToGrid w:val="0"/>
                <w:color w:val="000000"/>
                <w:sz w:val="20"/>
                <w:lang w:val="en-US" w:eastAsia="de-DE" w:bidi="en-US"/>
              </w:rPr>
              <m:t>max Sij</m:t>
            </m:r>
          </m:den>
        </m:f>
      </m:oMath>
      <w:r w:rsidRPr="00332DBE">
        <w:rPr>
          <w:rFonts w:ascii="Palatino Linotype" w:eastAsia="Times New Roman" w:hAnsi="Palatino Linotype" w:cs="Times New Roman"/>
          <w:snapToGrid w:val="0"/>
          <w:color w:val="000000"/>
          <w:sz w:val="20"/>
          <w:lang w:val="en-US" w:eastAsia="de-DE" w:bidi="en-US"/>
        </w:rPr>
        <w:t xml:space="preserve">    </w:t>
      </w:r>
      <w:r>
        <w:rPr>
          <w:rFonts w:ascii="Palatino Linotype" w:eastAsia="Times New Roman" w:hAnsi="Palatino Linotype" w:cs="Times New Roman"/>
          <w:snapToGrid w:val="0"/>
          <w:color w:val="000000"/>
          <w:sz w:val="20"/>
          <w:lang w:val="en-US" w:eastAsia="de-DE" w:bidi="en-US"/>
        </w:rPr>
        <w:t xml:space="preserve">      </w:t>
      </w:r>
      <w:r w:rsidRPr="00332DBE">
        <w:rPr>
          <w:rFonts w:ascii="Palatino Linotype" w:eastAsia="Times New Roman" w:hAnsi="Palatino Linotype" w:cs="Times New Roman"/>
          <w:snapToGrid w:val="0"/>
          <w:color w:val="000000"/>
          <w:sz w:val="20"/>
          <w:lang w:val="en-US" w:eastAsia="de-DE" w:bidi="en-US"/>
        </w:rPr>
        <w:t>Equation 2.</w:t>
      </w:r>
    </w:p>
    <w:p w14:paraId="2A3D40BF" w14:textId="27F5AF3D" w:rsidR="00780387" w:rsidRDefault="00780387" w:rsidP="00932CE4">
      <w:pPr>
        <w:adjustRightInd w:val="0"/>
        <w:snapToGrid w:val="0"/>
        <w:spacing w:after="0" w:line="260" w:lineRule="atLeast"/>
        <w:ind w:firstLine="425"/>
        <w:jc w:val="both"/>
        <w:rPr>
          <w:rFonts w:ascii="Palatino Linotype" w:eastAsia="Times New Roman" w:hAnsi="Palatino Linotype" w:cs="Times New Roman"/>
          <w:snapToGrid w:val="0"/>
          <w:color w:val="000000"/>
          <w:sz w:val="20"/>
          <w:lang w:val="en-US" w:eastAsia="de-DE" w:bidi="en-US"/>
        </w:rPr>
      </w:pPr>
    </w:p>
    <w:p w14:paraId="67649E96" w14:textId="77777777" w:rsidR="009370EF" w:rsidRDefault="009370EF" w:rsidP="00932CE4">
      <w:pPr>
        <w:adjustRightInd w:val="0"/>
        <w:snapToGrid w:val="0"/>
        <w:spacing w:after="0" w:line="260" w:lineRule="atLeast"/>
        <w:ind w:firstLine="425"/>
        <w:jc w:val="both"/>
        <w:rPr>
          <w:rFonts w:ascii="Palatino Linotype" w:eastAsia="Times New Roman" w:hAnsi="Palatino Linotype" w:cs="Times New Roman"/>
          <w:snapToGrid w:val="0"/>
          <w:color w:val="000000"/>
          <w:sz w:val="20"/>
          <w:lang w:val="en-US" w:eastAsia="de-DE" w:bidi="en-US"/>
        </w:rPr>
      </w:pPr>
    </w:p>
    <w:p w14:paraId="133D24CE" w14:textId="77777777" w:rsidR="009370EF" w:rsidRDefault="009370EF" w:rsidP="00932CE4">
      <w:pPr>
        <w:adjustRightInd w:val="0"/>
        <w:snapToGrid w:val="0"/>
        <w:spacing w:after="0" w:line="260" w:lineRule="atLeast"/>
        <w:ind w:firstLine="425"/>
        <w:jc w:val="both"/>
        <w:rPr>
          <w:rFonts w:ascii="Palatino Linotype" w:eastAsia="Times New Roman" w:hAnsi="Palatino Linotype" w:cs="Times New Roman"/>
          <w:snapToGrid w:val="0"/>
          <w:color w:val="000000"/>
          <w:sz w:val="20"/>
          <w:lang w:val="en-US" w:eastAsia="de-DE" w:bidi="en-US"/>
        </w:rPr>
      </w:pPr>
    </w:p>
    <w:p w14:paraId="0E3F04F1" w14:textId="77777777" w:rsidR="009370EF" w:rsidRDefault="009370EF" w:rsidP="00932CE4">
      <w:pPr>
        <w:adjustRightInd w:val="0"/>
        <w:snapToGrid w:val="0"/>
        <w:spacing w:after="0" w:line="260" w:lineRule="atLeast"/>
        <w:ind w:firstLine="425"/>
        <w:jc w:val="both"/>
        <w:rPr>
          <w:rFonts w:ascii="Palatino Linotype" w:eastAsia="Times New Roman" w:hAnsi="Palatino Linotype" w:cs="Times New Roman"/>
          <w:snapToGrid w:val="0"/>
          <w:color w:val="000000"/>
          <w:sz w:val="20"/>
          <w:lang w:val="en-US" w:eastAsia="de-DE" w:bidi="en-US"/>
        </w:rPr>
      </w:pPr>
    </w:p>
    <w:p w14:paraId="6D85A078" w14:textId="77777777" w:rsidR="009370EF" w:rsidRDefault="009370EF" w:rsidP="00932CE4">
      <w:pPr>
        <w:adjustRightInd w:val="0"/>
        <w:snapToGrid w:val="0"/>
        <w:spacing w:after="0" w:line="260" w:lineRule="atLeast"/>
        <w:ind w:firstLine="425"/>
        <w:jc w:val="both"/>
        <w:rPr>
          <w:rFonts w:ascii="Palatino Linotype" w:eastAsia="Times New Roman" w:hAnsi="Palatino Linotype" w:cs="Times New Roman"/>
          <w:snapToGrid w:val="0"/>
          <w:color w:val="000000"/>
          <w:sz w:val="20"/>
          <w:lang w:val="en-US" w:eastAsia="de-DE" w:bidi="en-US"/>
        </w:rPr>
      </w:pPr>
    </w:p>
    <w:p w14:paraId="55BA3C59" w14:textId="77777777" w:rsidR="004A590F" w:rsidRDefault="004A590F" w:rsidP="00932CE4">
      <w:pPr>
        <w:adjustRightInd w:val="0"/>
        <w:snapToGrid w:val="0"/>
        <w:spacing w:after="0" w:line="260" w:lineRule="atLeast"/>
        <w:ind w:firstLine="425"/>
        <w:jc w:val="both"/>
        <w:rPr>
          <w:rFonts w:ascii="Palatino Linotype" w:eastAsia="Times New Roman" w:hAnsi="Palatino Linotype" w:cs="Times New Roman"/>
          <w:snapToGrid w:val="0"/>
          <w:color w:val="000000"/>
          <w:sz w:val="20"/>
          <w:lang w:val="en-US" w:eastAsia="de-DE" w:bidi="en-US"/>
        </w:rPr>
      </w:pPr>
    </w:p>
    <w:p w14:paraId="175075A7" w14:textId="710B3341" w:rsidR="00780387" w:rsidRDefault="00780387" w:rsidP="00932CE4">
      <w:pPr>
        <w:adjustRightInd w:val="0"/>
        <w:snapToGrid w:val="0"/>
        <w:spacing w:after="0" w:line="260" w:lineRule="atLeast"/>
        <w:ind w:firstLine="425"/>
        <w:jc w:val="both"/>
        <w:rPr>
          <w:rFonts w:ascii="Palatino Linotype" w:eastAsia="Times New Roman" w:hAnsi="Palatino Linotype" w:cs="Times New Roman"/>
          <w:snapToGrid w:val="0"/>
          <w:color w:val="000000"/>
          <w:sz w:val="20"/>
          <w:lang w:val="en-US" w:eastAsia="de-DE" w:bidi="en-US"/>
        </w:rPr>
      </w:pPr>
      <w:r>
        <w:rPr>
          <w:rFonts w:ascii="Palatino Linotype" w:eastAsia="Times New Roman" w:hAnsi="Palatino Linotype" w:cs="Times New Roman"/>
          <w:snapToGrid w:val="0"/>
          <w:color w:val="000000"/>
          <w:sz w:val="20"/>
          <w:lang w:val="en-US" w:eastAsia="de-DE" w:bidi="en-US"/>
        </w:rPr>
        <w:lastRenderedPageBreak/>
        <w:t>Table 4.</w:t>
      </w:r>
      <w:r w:rsidR="009370EF">
        <w:rPr>
          <w:rFonts w:ascii="Palatino Linotype" w:eastAsia="Times New Roman" w:hAnsi="Palatino Linotype" w:cs="Times New Roman"/>
          <w:snapToGrid w:val="0"/>
          <w:color w:val="000000"/>
          <w:sz w:val="20"/>
          <w:lang w:val="en-US" w:eastAsia="de-DE" w:bidi="en-US"/>
        </w:rPr>
        <w:t xml:space="preserve"> Weighting of individual criterion</w:t>
      </w:r>
    </w:p>
    <w:tbl>
      <w:tblPr>
        <w:tblStyle w:val="TableGrid4"/>
        <w:tblW w:w="0" w:type="auto"/>
        <w:tblInd w:w="108" w:type="dxa"/>
        <w:tblLook w:val="04A0" w:firstRow="1" w:lastRow="0" w:firstColumn="1" w:lastColumn="0" w:noHBand="0" w:noVBand="1"/>
      </w:tblPr>
      <w:tblGrid>
        <w:gridCol w:w="1410"/>
        <w:gridCol w:w="1147"/>
        <w:gridCol w:w="3928"/>
        <w:gridCol w:w="1270"/>
        <w:gridCol w:w="1153"/>
      </w:tblGrid>
      <w:tr w:rsidR="006F05E4" w:rsidRPr="006F05E4" w14:paraId="16F1633A" w14:textId="77777777" w:rsidTr="00595931">
        <w:tc>
          <w:tcPr>
            <w:tcW w:w="1410" w:type="dxa"/>
          </w:tcPr>
          <w:p w14:paraId="1A4EB0D5"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Criteria</w:t>
            </w:r>
          </w:p>
        </w:tc>
        <w:tc>
          <w:tcPr>
            <w:tcW w:w="1147" w:type="dxa"/>
          </w:tcPr>
          <w:p w14:paraId="57E2A99A"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Weighting</w:t>
            </w:r>
          </w:p>
        </w:tc>
        <w:tc>
          <w:tcPr>
            <w:tcW w:w="3928" w:type="dxa"/>
          </w:tcPr>
          <w:p w14:paraId="2D916B10"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Sub-Criteria</w:t>
            </w:r>
          </w:p>
        </w:tc>
        <w:tc>
          <w:tcPr>
            <w:tcW w:w="1270" w:type="dxa"/>
          </w:tcPr>
          <w:p w14:paraId="3EC510CA"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Weighting</w:t>
            </w:r>
          </w:p>
        </w:tc>
        <w:tc>
          <w:tcPr>
            <w:tcW w:w="1153" w:type="dxa"/>
          </w:tcPr>
          <w:p w14:paraId="2921F644"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Individual Weighting</w:t>
            </w:r>
          </w:p>
        </w:tc>
      </w:tr>
      <w:tr w:rsidR="006F05E4" w:rsidRPr="006F05E4" w14:paraId="7FCCE2DA" w14:textId="77777777" w:rsidTr="00595931">
        <w:tc>
          <w:tcPr>
            <w:tcW w:w="1410" w:type="dxa"/>
          </w:tcPr>
          <w:p w14:paraId="4578575A"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Economic</w:t>
            </w:r>
          </w:p>
        </w:tc>
        <w:tc>
          <w:tcPr>
            <w:tcW w:w="1147" w:type="dxa"/>
          </w:tcPr>
          <w:p w14:paraId="34BBE2C6"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1/5</w:t>
            </w:r>
          </w:p>
        </w:tc>
        <w:tc>
          <w:tcPr>
            <w:tcW w:w="3928" w:type="dxa"/>
          </w:tcPr>
          <w:p w14:paraId="26F79FEC"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Net Present Value</w:t>
            </w:r>
          </w:p>
        </w:tc>
        <w:tc>
          <w:tcPr>
            <w:tcW w:w="1270" w:type="dxa"/>
          </w:tcPr>
          <w:p w14:paraId="04BED9FC"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1</w:t>
            </w:r>
          </w:p>
        </w:tc>
        <w:tc>
          <w:tcPr>
            <w:tcW w:w="1153" w:type="dxa"/>
          </w:tcPr>
          <w:p w14:paraId="28BD4355"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 xml:space="preserve"> 20%</w:t>
            </w:r>
          </w:p>
        </w:tc>
      </w:tr>
      <w:tr w:rsidR="006F05E4" w:rsidRPr="006F05E4" w14:paraId="0A067A49" w14:textId="77777777" w:rsidTr="00595931">
        <w:tc>
          <w:tcPr>
            <w:tcW w:w="1410" w:type="dxa"/>
            <w:vMerge w:val="restart"/>
          </w:tcPr>
          <w:p w14:paraId="7227B044"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Environmental</w:t>
            </w:r>
          </w:p>
        </w:tc>
        <w:tc>
          <w:tcPr>
            <w:tcW w:w="1147" w:type="dxa"/>
            <w:vMerge w:val="restart"/>
          </w:tcPr>
          <w:p w14:paraId="77A21045"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1/5</w:t>
            </w:r>
          </w:p>
        </w:tc>
        <w:tc>
          <w:tcPr>
            <w:tcW w:w="3928" w:type="dxa"/>
          </w:tcPr>
          <w:p w14:paraId="1F5712BE"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Climate Change Potential</w:t>
            </w:r>
          </w:p>
        </w:tc>
        <w:tc>
          <w:tcPr>
            <w:tcW w:w="1270" w:type="dxa"/>
          </w:tcPr>
          <w:p w14:paraId="6A76B73F"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1/7</w:t>
            </w:r>
          </w:p>
        </w:tc>
        <w:tc>
          <w:tcPr>
            <w:tcW w:w="1153" w:type="dxa"/>
          </w:tcPr>
          <w:p w14:paraId="6760DCE0" w14:textId="77777777" w:rsidR="006F05E4" w:rsidRPr="006F05E4" w:rsidRDefault="006F05E4" w:rsidP="006F05E4">
            <w:pPr>
              <w:adjustRightInd w:val="0"/>
              <w:snapToGrid w:val="0"/>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 xml:space="preserve">       2.85%</w:t>
            </w:r>
          </w:p>
        </w:tc>
      </w:tr>
      <w:tr w:rsidR="006F05E4" w:rsidRPr="006F05E4" w14:paraId="72D364C5" w14:textId="77777777" w:rsidTr="00595931">
        <w:tc>
          <w:tcPr>
            <w:tcW w:w="1410" w:type="dxa"/>
            <w:vMerge/>
          </w:tcPr>
          <w:p w14:paraId="358DEE21"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p>
        </w:tc>
        <w:tc>
          <w:tcPr>
            <w:tcW w:w="1147" w:type="dxa"/>
            <w:vMerge/>
          </w:tcPr>
          <w:p w14:paraId="20F536E4"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p>
        </w:tc>
        <w:tc>
          <w:tcPr>
            <w:tcW w:w="3928" w:type="dxa"/>
          </w:tcPr>
          <w:p w14:paraId="7A478691"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eastAsia="de-DE" w:bidi="en-US"/>
              </w:rPr>
              <w:t>Photochemical Ozone Formation Potential</w:t>
            </w:r>
          </w:p>
        </w:tc>
        <w:tc>
          <w:tcPr>
            <w:tcW w:w="1270" w:type="dxa"/>
          </w:tcPr>
          <w:p w14:paraId="25025C4B"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1/7</w:t>
            </w:r>
          </w:p>
        </w:tc>
        <w:tc>
          <w:tcPr>
            <w:tcW w:w="1153" w:type="dxa"/>
          </w:tcPr>
          <w:p w14:paraId="669B6736"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 xml:space="preserve">    2.85%</w:t>
            </w:r>
          </w:p>
        </w:tc>
      </w:tr>
      <w:tr w:rsidR="006F05E4" w:rsidRPr="006F05E4" w14:paraId="46FF4856" w14:textId="77777777" w:rsidTr="00595931">
        <w:tc>
          <w:tcPr>
            <w:tcW w:w="1410" w:type="dxa"/>
            <w:vMerge/>
          </w:tcPr>
          <w:p w14:paraId="32CDD7D2"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p>
        </w:tc>
        <w:tc>
          <w:tcPr>
            <w:tcW w:w="1147" w:type="dxa"/>
            <w:vMerge/>
          </w:tcPr>
          <w:p w14:paraId="1DDD6FAE"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p>
        </w:tc>
        <w:tc>
          <w:tcPr>
            <w:tcW w:w="3928" w:type="dxa"/>
          </w:tcPr>
          <w:p w14:paraId="53121843"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eastAsia="de-DE" w:bidi="en-US"/>
              </w:rPr>
            </w:pPr>
            <w:r w:rsidRPr="006F05E4">
              <w:rPr>
                <w:rFonts w:ascii="Palatino Linotype" w:eastAsia="Times New Roman" w:hAnsi="Palatino Linotype"/>
                <w:snapToGrid w:val="0"/>
                <w:color w:val="000000"/>
                <w:sz w:val="18"/>
                <w:lang w:eastAsia="de-DE" w:bidi="en-US"/>
              </w:rPr>
              <w:t>Human Toxicity Potential</w:t>
            </w:r>
          </w:p>
        </w:tc>
        <w:tc>
          <w:tcPr>
            <w:tcW w:w="1270" w:type="dxa"/>
          </w:tcPr>
          <w:p w14:paraId="7839A910"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1/7</w:t>
            </w:r>
          </w:p>
        </w:tc>
        <w:tc>
          <w:tcPr>
            <w:tcW w:w="1153" w:type="dxa"/>
          </w:tcPr>
          <w:p w14:paraId="5717CC23"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 xml:space="preserve">     2.85%</w:t>
            </w:r>
          </w:p>
        </w:tc>
      </w:tr>
      <w:tr w:rsidR="006F05E4" w:rsidRPr="006F05E4" w14:paraId="58A192C2" w14:textId="77777777" w:rsidTr="00595931">
        <w:tc>
          <w:tcPr>
            <w:tcW w:w="1410" w:type="dxa"/>
            <w:vMerge/>
          </w:tcPr>
          <w:p w14:paraId="4A86DB1E"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p>
        </w:tc>
        <w:tc>
          <w:tcPr>
            <w:tcW w:w="1147" w:type="dxa"/>
            <w:vMerge/>
          </w:tcPr>
          <w:p w14:paraId="3290D981"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p>
        </w:tc>
        <w:tc>
          <w:tcPr>
            <w:tcW w:w="3928" w:type="dxa"/>
          </w:tcPr>
          <w:p w14:paraId="79F4E7E7"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eastAsia="de-DE" w:bidi="en-US"/>
              </w:rPr>
            </w:pPr>
            <w:r w:rsidRPr="006F05E4">
              <w:rPr>
                <w:rFonts w:ascii="Palatino Linotype" w:eastAsia="Times New Roman" w:hAnsi="Palatino Linotype"/>
                <w:snapToGrid w:val="0"/>
                <w:color w:val="000000"/>
                <w:sz w:val="18"/>
                <w:lang w:eastAsia="de-DE" w:bidi="en-US"/>
              </w:rPr>
              <w:t>Acidification Potential</w:t>
            </w:r>
          </w:p>
        </w:tc>
        <w:tc>
          <w:tcPr>
            <w:tcW w:w="1270" w:type="dxa"/>
          </w:tcPr>
          <w:p w14:paraId="4371720B"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1/7</w:t>
            </w:r>
          </w:p>
        </w:tc>
        <w:tc>
          <w:tcPr>
            <w:tcW w:w="1153" w:type="dxa"/>
          </w:tcPr>
          <w:p w14:paraId="7230E3D7"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 xml:space="preserve">     2.85%</w:t>
            </w:r>
          </w:p>
        </w:tc>
      </w:tr>
      <w:tr w:rsidR="006F05E4" w:rsidRPr="006F05E4" w14:paraId="1D02E1ED" w14:textId="77777777" w:rsidTr="00595931">
        <w:tc>
          <w:tcPr>
            <w:tcW w:w="1410" w:type="dxa"/>
            <w:vMerge/>
          </w:tcPr>
          <w:p w14:paraId="49880CCB"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p>
        </w:tc>
        <w:tc>
          <w:tcPr>
            <w:tcW w:w="1147" w:type="dxa"/>
            <w:vMerge/>
          </w:tcPr>
          <w:p w14:paraId="035FAC4E"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p>
        </w:tc>
        <w:tc>
          <w:tcPr>
            <w:tcW w:w="3928" w:type="dxa"/>
          </w:tcPr>
          <w:p w14:paraId="0861D6AD"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eastAsia="de-DE" w:bidi="en-US"/>
              </w:rPr>
            </w:pPr>
            <w:r w:rsidRPr="006F05E4">
              <w:rPr>
                <w:rFonts w:ascii="Palatino Linotype" w:eastAsia="Times New Roman" w:hAnsi="Palatino Linotype"/>
                <w:snapToGrid w:val="0"/>
                <w:color w:val="000000"/>
                <w:sz w:val="18"/>
                <w:lang w:eastAsia="de-DE" w:bidi="en-US"/>
              </w:rPr>
              <w:t>Eutrophication Potential</w:t>
            </w:r>
          </w:p>
        </w:tc>
        <w:tc>
          <w:tcPr>
            <w:tcW w:w="1270" w:type="dxa"/>
          </w:tcPr>
          <w:p w14:paraId="2C755003"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1/7</w:t>
            </w:r>
          </w:p>
        </w:tc>
        <w:tc>
          <w:tcPr>
            <w:tcW w:w="1153" w:type="dxa"/>
          </w:tcPr>
          <w:p w14:paraId="2B8B6087"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 xml:space="preserve">     2.85%</w:t>
            </w:r>
          </w:p>
        </w:tc>
      </w:tr>
      <w:tr w:rsidR="006F05E4" w:rsidRPr="006F05E4" w14:paraId="04431522" w14:textId="77777777" w:rsidTr="00595931">
        <w:tc>
          <w:tcPr>
            <w:tcW w:w="1410" w:type="dxa"/>
            <w:vMerge/>
          </w:tcPr>
          <w:p w14:paraId="12A2147F"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p>
        </w:tc>
        <w:tc>
          <w:tcPr>
            <w:tcW w:w="1147" w:type="dxa"/>
            <w:vMerge/>
          </w:tcPr>
          <w:p w14:paraId="6EF905FB"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p>
        </w:tc>
        <w:tc>
          <w:tcPr>
            <w:tcW w:w="3928" w:type="dxa"/>
          </w:tcPr>
          <w:p w14:paraId="626750B6"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eastAsia="de-DE" w:bidi="en-US"/>
              </w:rPr>
            </w:pPr>
            <w:r w:rsidRPr="006F05E4">
              <w:rPr>
                <w:rFonts w:ascii="Palatino Linotype" w:eastAsia="Times New Roman" w:hAnsi="Palatino Linotype"/>
                <w:snapToGrid w:val="0"/>
                <w:color w:val="000000"/>
                <w:sz w:val="18"/>
                <w:lang w:eastAsia="de-DE" w:bidi="en-US"/>
              </w:rPr>
              <w:t>Ozone Depletion Potential</w:t>
            </w:r>
          </w:p>
        </w:tc>
        <w:tc>
          <w:tcPr>
            <w:tcW w:w="1270" w:type="dxa"/>
          </w:tcPr>
          <w:p w14:paraId="309050ED"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1/7</w:t>
            </w:r>
          </w:p>
        </w:tc>
        <w:tc>
          <w:tcPr>
            <w:tcW w:w="1153" w:type="dxa"/>
          </w:tcPr>
          <w:p w14:paraId="2B7D62C6"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 xml:space="preserve">     2.85%</w:t>
            </w:r>
          </w:p>
        </w:tc>
      </w:tr>
      <w:tr w:rsidR="006F05E4" w:rsidRPr="006F05E4" w14:paraId="580A7C6C" w14:textId="77777777" w:rsidTr="00595931">
        <w:tc>
          <w:tcPr>
            <w:tcW w:w="1410" w:type="dxa"/>
            <w:vMerge/>
          </w:tcPr>
          <w:p w14:paraId="1C8E6C9B"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p>
        </w:tc>
        <w:tc>
          <w:tcPr>
            <w:tcW w:w="1147" w:type="dxa"/>
            <w:vMerge/>
          </w:tcPr>
          <w:p w14:paraId="1EE93314"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p>
        </w:tc>
        <w:tc>
          <w:tcPr>
            <w:tcW w:w="3928" w:type="dxa"/>
          </w:tcPr>
          <w:p w14:paraId="735945A7" w14:textId="77777777" w:rsidR="006F05E4" w:rsidRPr="006F05E4" w:rsidRDefault="006F05E4" w:rsidP="006F05E4">
            <w:pPr>
              <w:tabs>
                <w:tab w:val="left" w:pos="1172"/>
              </w:tabs>
              <w:adjustRightInd w:val="0"/>
              <w:snapToGrid w:val="0"/>
              <w:rPr>
                <w:rFonts w:ascii="Palatino Linotype" w:eastAsia="Times New Roman" w:hAnsi="Palatino Linotype"/>
                <w:snapToGrid w:val="0"/>
                <w:color w:val="000000"/>
                <w:sz w:val="18"/>
                <w:lang w:eastAsia="de-DE" w:bidi="en-US"/>
              </w:rPr>
            </w:pPr>
            <w:r w:rsidRPr="006F05E4">
              <w:rPr>
                <w:rFonts w:ascii="Palatino Linotype" w:eastAsia="Times New Roman" w:hAnsi="Palatino Linotype"/>
                <w:snapToGrid w:val="0"/>
                <w:color w:val="000000"/>
                <w:sz w:val="18"/>
                <w:lang w:eastAsia="de-DE" w:bidi="en-US"/>
              </w:rPr>
              <w:tab/>
              <w:t>Ecotoxicity Potential</w:t>
            </w:r>
          </w:p>
        </w:tc>
        <w:tc>
          <w:tcPr>
            <w:tcW w:w="1270" w:type="dxa"/>
          </w:tcPr>
          <w:p w14:paraId="42D20B22"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1/7</w:t>
            </w:r>
          </w:p>
        </w:tc>
        <w:tc>
          <w:tcPr>
            <w:tcW w:w="1153" w:type="dxa"/>
          </w:tcPr>
          <w:p w14:paraId="0F01EDBF"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 xml:space="preserve">     2.85%</w:t>
            </w:r>
          </w:p>
        </w:tc>
      </w:tr>
      <w:tr w:rsidR="006F05E4" w:rsidRPr="006F05E4" w14:paraId="233602F7" w14:textId="77777777" w:rsidTr="00595931">
        <w:tc>
          <w:tcPr>
            <w:tcW w:w="1410" w:type="dxa"/>
            <w:vMerge w:val="restart"/>
          </w:tcPr>
          <w:p w14:paraId="25541261"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Social</w:t>
            </w:r>
          </w:p>
        </w:tc>
        <w:tc>
          <w:tcPr>
            <w:tcW w:w="1147" w:type="dxa"/>
            <w:vMerge w:val="restart"/>
          </w:tcPr>
          <w:p w14:paraId="2551D03B"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1/5</w:t>
            </w:r>
          </w:p>
        </w:tc>
        <w:tc>
          <w:tcPr>
            <w:tcW w:w="3928" w:type="dxa"/>
          </w:tcPr>
          <w:p w14:paraId="4EAE3BBA"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Social Acceptability</w:t>
            </w:r>
          </w:p>
        </w:tc>
        <w:tc>
          <w:tcPr>
            <w:tcW w:w="1270" w:type="dxa"/>
          </w:tcPr>
          <w:p w14:paraId="0D3635AD"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1/5</w:t>
            </w:r>
          </w:p>
        </w:tc>
        <w:tc>
          <w:tcPr>
            <w:tcW w:w="1153" w:type="dxa"/>
          </w:tcPr>
          <w:p w14:paraId="73B5DEEC"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4%</w:t>
            </w:r>
          </w:p>
        </w:tc>
      </w:tr>
      <w:tr w:rsidR="006F05E4" w:rsidRPr="006F05E4" w14:paraId="1BBB2E7E" w14:textId="77777777" w:rsidTr="00595931">
        <w:tc>
          <w:tcPr>
            <w:tcW w:w="1410" w:type="dxa"/>
            <w:vMerge/>
          </w:tcPr>
          <w:p w14:paraId="6A1C81B0"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p>
        </w:tc>
        <w:tc>
          <w:tcPr>
            <w:tcW w:w="1147" w:type="dxa"/>
            <w:vMerge/>
          </w:tcPr>
          <w:p w14:paraId="62A83379"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p>
        </w:tc>
        <w:tc>
          <w:tcPr>
            <w:tcW w:w="3928" w:type="dxa"/>
          </w:tcPr>
          <w:p w14:paraId="69CB906E" w14:textId="278D81CA" w:rsidR="006F05E4" w:rsidRPr="006F05E4" w:rsidRDefault="009C589A"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Odor</w:t>
            </w:r>
            <w:r w:rsidR="006F05E4" w:rsidRPr="006F05E4">
              <w:rPr>
                <w:rFonts w:ascii="Palatino Linotype" w:eastAsia="Times New Roman" w:hAnsi="Palatino Linotype"/>
                <w:snapToGrid w:val="0"/>
                <w:color w:val="000000"/>
                <w:sz w:val="18"/>
                <w:lang w:val="en-US" w:eastAsia="de-DE" w:bidi="en-US"/>
              </w:rPr>
              <w:t xml:space="preserve"> Generation</w:t>
            </w:r>
          </w:p>
        </w:tc>
        <w:tc>
          <w:tcPr>
            <w:tcW w:w="1270" w:type="dxa"/>
          </w:tcPr>
          <w:p w14:paraId="4170C63F"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1/5</w:t>
            </w:r>
          </w:p>
        </w:tc>
        <w:tc>
          <w:tcPr>
            <w:tcW w:w="1153" w:type="dxa"/>
          </w:tcPr>
          <w:p w14:paraId="1E722326"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4%</w:t>
            </w:r>
          </w:p>
        </w:tc>
      </w:tr>
      <w:tr w:rsidR="006F05E4" w:rsidRPr="006F05E4" w14:paraId="3C741AB3" w14:textId="77777777" w:rsidTr="00595931">
        <w:tc>
          <w:tcPr>
            <w:tcW w:w="1410" w:type="dxa"/>
            <w:vMerge/>
          </w:tcPr>
          <w:p w14:paraId="76F34866"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p>
        </w:tc>
        <w:tc>
          <w:tcPr>
            <w:tcW w:w="1147" w:type="dxa"/>
            <w:vMerge/>
          </w:tcPr>
          <w:p w14:paraId="6E2D6CD5"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p>
        </w:tc>
        <w:tc>
          <w:tcPr>
            <w:tcW w:w="3928" w:type="dxa"/>
          </w:tcPr>
          <w:p w14:paraId="5FB52A47"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Noise</w:t>
            </w:r>
          </w:p>
        </w:tc>
        <w:tc>
          <w:tcPr>
            <w:tcW w:w="1270" w:type="dxa"/>
          </w:tcPr>
          <w:p w14:paraId="4423CC38"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1/5</w:t>
            </w:r>
          </w:p>
        </w:tc>
        <w:tc>
          <w:tcPr>
            <w:tcW w:w="1153" w:type="dxa"/>
          </w:tcPr>
          <w:p w14:paraId="2C5E65CC"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4%</w:t>
            </w:r>
          </w:p>
        </w:tc>
      </w:tr>
      <w:tr w:rsidR="006F05E4" w:rsidRPr="006F05E4" w14:paraId="090C9B21" w14:textId="77777777" w:rsidTr="00595931">
        <w:tc>
          <w:tcPr>
            <w:tcW w:w="1410" w:type="dxa"/>
            <w:vMerge/>
          </w:tcPr>
          <w:p w14:paraId="4D312BD4"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p>
        </w:tc>
        <w:tc>
          <w:tcPr>
            <w:tcW w:w="1147" w:type="dxa"/>
            <w:vMerge/>
          </w:tcPr>
          <w:p w14:paraId="726B45F2"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p>
        </w:tc>
        <w:tc>
          <w:tcPr>
            <w:tcW w:w="3928" w:type="dxa"/>
          </w:tcPr>
          <w:p w14:paraId="18673E44"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Job Creation</w:t>
            </w:r>
          </w:p>
        </w:tc>
        <w:tc>
          <w:tcPr>
            <w:tcW w:w="1270" w:type="dxa"/>
          </w:tcPr>
          <w:p w14:paraId="4BCC792A"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1/5</w:t>
            </w:r>
          </w:p>
        </w:tc>
        <w:tc>
          <w:tcPr>
            <w:tcW w:w="1153" w:type="dxa"/>
          </w:tcPr>
          <w:p w14:paraId="7E511E84"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4%</w:t>
            </w:r>
          </w:p>
        </w:tc>
      </w:tr>
      <w:tr w:rsidR="006F05E4" w:rsidRPr="006F05E4" w14:paraId="602DE591" w14:textId="77777777" w:rsidTr="00595931">
        <w:tc>
          <w:tcPr>
            <w:tcW w:w="1410" w:type="dxa"/>
            <w:vMerge/>
          </w:tcPr>
          <w:p w14:paraId="43A7E720"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p>
        </w:tc>
        <w:tc>
          <w:tcPr>
            <w:tcW w:w="1147" w:type="dxa"/>
            <w:vMerge/>
          </w:tcPr>
          <w:p w14:paraId="1B5AA1ED"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p>
        </w:tc>
        <w:tc>
          <w:tcPr>
            <w:tcW w:w="3928" w:type="dxa"/>
          </w:tcPr>
          <w:p w14:paraId="7F02B8C4"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Traffic</w:t>
            </w:r>
          </w:p>
        </w:tc>
        <w:tc>
          <w:tcPr>
            <w:tcW w:w="1270" w:type="dxa"/>
          </w:tcPr>
          <w:p w14:paraId="267735D5"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1/5</w:t>
            </w:r>
          </w:p>
        </w:tc>
        <w:tc>
          <w:tcPr>
            <w:tcW w:w="1153" w:type="dxa"/>
          </w:tcPr>
          <w:p w14:paraId="46590552"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4%</w:t>
            </w:r>
          </w:p>
        </w:tc>
      </w:tr>
      <w:tr w:rsidR="006F05E4" w:rsidRPr="006F05E4" w14:paraId="276CDD00" w14:textId="77777777" w:rsidTr="00595931">
        <w:tc>
          <w:tcPr>
            <w:tcW w:w="1410" w:type="dxa"/>
            <w:vMerge w:val="restart"/>
          </w:tcPr>
          <w:p w14:paraId="5BCCD027"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Technological Maturity</w:t>
            </w:r>
          </w:p>
        </w:tc>
        <w:tc>
          <w:tcPr>
            <w:tcW w:w="1147" w:type="dxa"/>
            <w:vMerge w:val="restart"/>
          </w:tcPr>
          <w:p w14:paraId="5B5A5842"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1/5</w:t>
            </w:r>
          </w:p>
        </w:tc>
        <w:tc>
          <w:tcPr>
            <w:tcW w:w="3928" w:type="dxa"/>
          </w:tcPr>
          <w:p w14:paraId="33F8D1FD"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Technological Readiness Level</w:t>
            </w:r>
          </w:p>
        </w:tc>
        <w:tc>
          <w:tcPr>
            <w:tcW w:w="1270" w:type="dxa"/>
          </w:tcPr>
          <w:p w14:paraId="6B9CB3F8"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1/3</w:t>
            </w:r>
          </w:p>
        </w:tc>
        <w:tc>
          <w:tcPr>
            <w:tcW w:w="1153" w:type="dxa"/>
          </w:tcPr>
          <w:p w14:paraId="75B121DC"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6.66%</w:t>
            </w:r>
          </w:p>
        </w:tc>
      </w:tr>
      <w:tr w:rsidR="006F05E4" w:rsidRPr="006F05E4" w14:paraId="5E8D898A" w14:textId="77777777" w:rsidTr="00595931">
        <w:tc>
          <w:tcPr>
            <w:tcW w:w="1410" w:type="dxa"/>
            <w:vMerge/>
          </w:tcPr>
          <w:p w14:paraId="16670804"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p>
        </w:tc>
        <w:tc>
          <w:tcPr>
            <w:tcW w:w="1147" w:type="dxa"/>
            <w:vMerge/>
          </w:tcPr>
          <w:p w14:paraId="09AB5214"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p>
        </w:tc>
        <w:tc>
          <w:tcPr>
            <w:tcW w:w="3928" w:type="dxa"/>
          </w:tcPr>
          <w:p w14:paraId="0C788DD4"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Integration Readiness Level</w:t>
            </w:r>
          </w:p>
        </w:tc>
        <w:tc>
          <w:tcPr>
            <w:tcW w:w="1270" w:type="dxa"/>
          </w:tcPr>
          <w:p w14:paraId="07E5B936"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1/3</w:t>
            </w:r>
          </w:p>
        </w:tc>
        <w:tc>
          <w:tcPr>
            <w:tcW w:w="1153" w:type="dxa"/>
          </w:tcPr>
          <w:p w14:paraId="12FF1321"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6.66%</w:t>
            </w:r>
          </w:p>
        </w:tc>
      </w:tr>
      <w:tr w:rsidR="006F05E4" w:rsidRPr="006F05E4" w14:paraId="7E08CA3F" w14:textId="77777777" w:rsidTr="00595931">
        <w:tc>
          <w:tcPr>
            <w:tcW w:w="1410" w:type="dxa"/>
            <w:vMerge/>
          </w:tcPr>
          <w:p w14:paraId="76E267F1"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p>
        </w:tc>
        <w:tc>
          <w:tcPr>
            <w:tcW w:w="1147" w:type="dxa"/>
            <w:vMerge/>
          </w:tcPr>
          <w:p w14:paraId="66BA8F92"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p>
        </w:tc>
        <w:tc>
          <w:tcPr>
            <w:tcW w:w="3928" w:type="dxa"/>
          </w:tcPr>
          <w:p w14:paraId="1E22BA2B"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Demand Readiness Level</w:t>
            </w:r>
          </w:p>
        </w:tc>
        <w:tc>
          <w:tcPr>
            <w:tcW w:w="1270" w:type="dxa"/>
          </w:tcPr>
          <w:p w14:paraId="354CCD34"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1/3</w:t>
            </w:r>
          </w:p>
        </w:tc>
        <w:tc>
          <w:tcPr>
            <w:tcW w:w="1153" w:type="dxa"/>
          </w:tcPr>
          <w:p w14:paraId="5E69059A"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6.66%</w:t>
            </w:r>
          </w:p>
        </w:tc>
      </w:tr>
      <w:tr w:rsidR="006F05E4" w:rsidRPr="006F05E4" w14:paraId="52B27CA8" w14:textId="77777777" w:rsidTr="00595931">
        <w:tc>
          <w:tcPr>
            <w:tcW w:w="1410" w:type="dxa"/>
            <w:vMerge w:val="restart"/>
          </w:tcPr>
          <w:p w14:paraId="3243C2E8"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Alignment with Company Goals</w:t>
            </w:r>
          </w:p>
        </w:tc>
        <w:tc>
          <w:tcPr>
            <w:tcW w:w="1147" w:type="dxa"/>
            <w:vMerge w:val="restart"/>
          </w:tcPr>
          <w:p w14:paraId="6C990709"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1/5</w:t>
            </w:r>
          </w:p>
        </w:tc>
        <w:tc>
          <w:tcPr>
            <w:tcW w:w="3928" w:type="dxa"/>
          </w:tcPr>
          <w:p w14:paraId="45AFCC6B"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Fit with brand image</w:t>
            </w:r>
          </w:p>
        </w:tc>
        <w:tc>
          <w:tcPr>
            <w:tcW w:w="1270" w:type="dxa"/>
          </w:tcPr>
          <w:p w14:paraId="0442114C"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1/3</w:t>
            </w:r>
          </w:p>
        </w:tc>
        <w:tc>
          <w:tcPr>
            <w:tcW w:w="1153" w:type="dxa"/>
          </w:tcPr>
          <w:p w14:paraId="759E3DB7"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6.66%</w:t>
            </w:r>
          </w:p>
        </w:tc>
      </w:tr>
      <w:tr w:rsidR="006F05E4" w:rsidRPr="006F05E4" w14:paraId="442065A7" w14:textId="77777777" w:rsidTr="00595931">
        <w:tc>
          <w:tcPr>
            <w:tcW w:w="1410" w:type="dxa"/>
            <w:vMerge/>
          </w:tcPr>
          <w:p w14:paraId="24651785"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p>
        </w:tc>
        <w:tc>
          <w:tcPr>
            <w:tcW w:w="1147" w:type="dxa"/>
            <w:vMerge/>
          </w:tcPr>
          <w:p w14:paraId="5543FEAA"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p>
        </w:tc>
        <w:tc>
          <w:tcPr>
            <w:tcW w:w="3928" w:type="dxa"/>
          </w:tcPr>
          <w:p w14:paraId="2C8DA630"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Fit with company strategy</w:t>
            </w:r>
          </w:p>
        </w:tc>
        <w:tc>
          <w:tcPr>
            <w:tcW w:w="1270" w:type="dxa"/>
          </w:tcPr>
          <w:p w14:paraId="512D3E87"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1/3</w:t>
            </w:r>
          </w:p>
        </w:tc>
        <w:tc>
          <w:tcPr>
            <w:tcW w:w="1153" w:type="dxa"/>
          </w:tcPr>
          <w:p w14:paraId="4FC498A2"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6.66%</w:t>
            </w:r>
          </w:p>
        </w:tc>
      </w:tr>
      <w:tr w:rsidR="006F05E4" w:rsidRPr="006F05E4" w14:paraId="68065C40" w14:textId="77777777" w:rsidTr="00595931">
        <w:tc>
          <w:tcPr>
            <w:tcW w:w="1410" w:type="dxa"/>
            <w:vMerge/>
          </w:tcPr>
          <w:p w14:paraId="29E8999A"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p>
        </w:tc>
        <w:tc>
          <w:tcPr>
            <w:tcW w:w="1147" w:type="dxa"/>
            <w:vMerge/>
          </w:tcPr>
          <w:p w14:paraId="5B596BEE"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p>
        </w:tc>
        <w:tc>
          <w:tcPr>
            <w:tcW w:w="3928" w:type="dxa"/>
          </w:tcPr>
          <w:p w14:paraId="108E7224"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Fit with company expertise</w:t>
            </w:r>
          </w:p>
        </w:tc>
        <w:tc>
          <w:tcPr>
            <w:tcW w:w="1270" w:type="dxa"/>
          </w:tcPr>
          <w:p w14:paraId="43BD790A"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1/3</w:t>
            </w:r>
          </w:p>
        </w:tc>
        <w:tc>
          <w:tcPr>
            <w:tcW w:w="1153" w:type="dxa"/>
          </w:tcPr>
          <w:p w14:paraId="56D943AE" w14:textId="77777777" w:rsidR="006F05E4" w:rsidRPr="006F05E4" w:rsidRDefault="006F05E4" w:rsidP="006F05E4">
            <w:pPr>
              <w:adjustRightInd w:val="0"/>
              <w:snapToGrid w:val="0"/>
              <w:jc w:val="center"/>
              <w:rPr>
                <w:rFonts w:ascii="Palatino Linotype" w:eastAsia="Times New Roman" w:hAnsi="Palatino Linotype"/>
                <w:snapToGrid w:val="0"/>
                <w:color w:val="000000"/>
                <w:sz w:val="18"/>
                <w:lang w:val="en-US" w:eastAsia="de-DE" w:bidi="en-US"/>
              </w:rPr>
            </w:pPr>
            <w:r w:rsidRPr="006F05E4">
              <w:rPr>
                <w:rFonts w:ascii="Palatino Linotype" w:eastAsia="Times New Roman" w:hAnsi="Palatino Linotype"/>
                <w:snapToGrid w:val="0"/>
                <w:color w:val="000000"/>
                <w:sz w:val="18"/>
                <w:lang w:val="en-US" w:eastAsia="de-DE" w:bidi="en-US"/>
              </w:rPr>
              <w:t>6.66%</w:t>
            </w:r>
          </w:p>
        </w:tc>
      </w:tr>
    </w:tbl>
    <w:p w14:paraId="6DA9AF67" w14:textId="21BAF3A3" w:rsidR="006F05E4" w:rsidRDefault="006F05E4" w:rsidP="009370EF">
      <w:pPr>
        <w:adjustRightInd w:val="0"/>
        <w:snapToGrid w:val="0"/>
        <w:spacing w:after="0" w:line="260" w:lineRule="atLeast"/>
        <w:jc w:val="both"/>
        <w:rPr>
          <w:rFonts w:ascii="Palatino Linotype" w:eastAsia="Times New Roman" w:hAnsi="Palatino Linotype" w:cs="Times New Roman"/>
          <w:snapToGrid w:val="0"/>
          <w:color w:val="000000"/>
          <w:sz w:val="20"/>
          <w:lang w:val="en-US" w:eastAsia="de-DE" w:bidi="en-US"/>
        </w:rPr>
      </w:pPr>
    </w:p>
    <w:p w14:paraId="1C217960" w14:textId="77777777" w:rsidR="006F05E4" w:rsidRDefault="006F05E4" w:rsidP="00932CE4">
      <w:pPr>
        <w:adjustRightInd w:val="0"/>
        <w:snapToGrid w:val="0"/>
        <w:spacing w:after="0" w:line="260" w:lineRule="atLeast"/>
        <w:ind w:firstLine="425"/>
        <w:jc w:val="both"/>
        <w:rPr>
          <w:rFonts w:ascii="Palatino Linotype" w:eastAsia="Times New Roman" w:hAnsi="Palatino Linotype" w:cs="Times New Roman"/>
          <w:snapToGrid w:val="0"/>
          <w:color w:val="000000"/>
          <w:sz w:val="20"/>
          <w:lang w:val="en-US" w:eastAsia="de-DE" w:bidi="en-US"/>
        </w:rPr>
      </w:pPr>
    </w:p>
    <w:p w14:paraId="6A6DFE8A" w14:textId="46CAA6C0" w:rsidR="00780387" w:rsidRDefault="006F05E4" w:rsidP="00932CE4">
      <w:pPr>
        <w:adjustRightInd w:val="0"/>
        <w:snapToGrid w:val="0"/>
        <w:spacing w:after="0" w:line="260" w:lineRule="atLeast"/>
        <w:ind w:firstLine="425"/>
        <w:jc w:val="both"/>
        <w:rPr>
          <w:rFonts w:ascii="Palatino Linotype" w:eastAsia="Times New Roman" w:hAnsi="Palatino Linotype" w:cs="Times New Roman"/>
          <w:snapToGrid w:val="0"/>
          <w:color w:val="000000"/>
          <w:sz w:val="20"/>
          <w:lang w:val="en-US" w:eastAsia="de-DE" w:bidi="en-US"/>
        </w:rPr>
      </w:pPr>
      <w:r>
        <w:rPr>
          <w:rFonts w:ascii="Palatino Linotype" w:eastAsia="Times New Roman" w:hAnsi="Palatino Linotype" w:cs="Times New Roman"/>
          <w:i/>
          <w:noProof/>
          <w:snapToGrid w:val="0"/>
          <w:color w:val="000000"/>
          <w:sz w:val="20"/>
          <w:lang w:eastAsia="de-DE" w:bidi="en-US"/>
        </w:rPr>
        <w:drawing>
          <wp:inline distT="0" distB="0" distL="0" distR="0" wp14:anchorId="757BB544" wp14:editId="00333025">
            <wp:extent cx="5731510" cy="415981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159816"/>
                    </a:xfrm>
                    <a:prstGeom prst="rect">
                      <a:avLst/>
                    </a:prstGeom>
                    <a:noFill/>
                  </pic:spPr>
                </pic:pic>
              </a:graphicData>
            </a:graphic>
          </wp:inline>
        </w:drawing>
      </w:r>
    </w:p>
    <w:p w14:paraId="676BED24" w14:textId="33DAD867" w:rsidR="006F05E4" w:rsidRDefault="006F05E4" w:rsidP="006F05E4">
      <w:pPr>
        <w:adjustRightInd w:val="0"/>
        <w:snapToGrid w:val="0"/>
        <w:spacing w:after="0" w:line="260" w:lineRule="atLeast"/>
        <w:ind w:left="425"/>
        <w:jc w:val="both"/>
        <w:rPr>
          <w:rFonts w:ascii="Palatino Linotype" w:eastAsia="Times New Roman" w:hAnsi="Palatino Linotype" w:cs="Times New Roman"/>
          <w:snapToGrid w:val="0"/>
          <w:color w:val="000000"/>
          <w:sz w:val="20"/>
          <w:lang w:val="en-US" w:eastAsia="de-DE" w:bidi="en-US"/>
        </w:rPr>
      </w:pPr>
      <w:r>
        <w:rPr>
          <w:rFonts w:ascii="Palatino Linotype" w:eastAsia="Times New Roman" w:hAnsi="Palatino Linotype" w:cs="Times New Roman"/>
          <w:snapToGrid w:val="0"/>
          <w:color w:val="000000"/>
          <w:sz w:val="20"/>
          <w:lang w:val="en-US" w:eastAsia="de-DE" w:bidi="en-US"/>
        </w:rPr>
        <w:t xml:space="preserve">Figure 1: </w:t>
      </w:r>
      <w:r w:rsidR="00D83AB7">
        <w:rPr>
          <w:rFonts w:ascii="Palatino Linotype" w:eastAsia="Times New Roman" w:hAnsi="Palatino Linotype" w:cs="Times New Roman"/>
          <w:snapToGrid w:val="0"/>
          <w:color w:val="000000"/>
          <w:sz w:val="20"/>
          <w:lang w:val="en-US" w:eastAsia="de-DE" w:bidi="en-US"/>
        </w:rPr>
        <w:t>N</w:t>
      </w:r>
      <w:r w:rsidR="00D83AB7" w:rsidRPr="00332DBE">
        <w:rPr>
          <w:rFonts w:ascii="Palatino Linotype" w:eastAsia="Times New Roman" w:hAnsi="Palatino Linotype" w:cs="Times New Roman"/>
          <w:snapToGrid w:val="0"/>
          <w:color w:val="000000"/>
          <w:sz w:val="20"/>
          <w:lang w:val="en-US" w:eastAsia="de-DE" w:bidi="en-US"/>
        </w:rPr>
        <w:t>ormali</w:t>
      </w:r>
      <w:r w:rsidR="00D83AB7">
        <w:rPr>
          <w:rFonts w:ascii="Palatino Linotype" w:eastAsia="Times New Roman" w:hAnsi="Palatino Linotype" w:cs="Times New Roman"/>
          <w:snapToGrid w:val="0"/>
          <w:color w:val="000000"/>
          <w:sz w:val="20"/>
          <w:lang w:val="en-US" w:eastAsia="de-DE" w:bidi="en-US"/>
        </w:rPr>
        <w:t>z</w:t>
      </w:r>
      <w:r w:rsidR="00D83AB7" w:rsidRPr="00332DBE">
        <w:rPr>
          <w:rFonts w:ascii="Palatino Linotype" w:eastAsia="Times New Roman" w:hAnsi="Palatino Linotype" w:cs="Times New Roman"/>
          <w:snapToGrid w:val="0"/>
          <w:color w:val="000000"/>
          <w:sz w:val="20"/>
          <w:lang w:val="en-US" w:eastAsia="de-DE" w:bidi="en-US"/>
        </w:rPr>
        <w:t>ed</w:t>
      </w:r>
      <w:r w:rsidRPr="00332DBE">
        <w:rPr>
          <w:rFonts w:ascii="Palatino Linotype" w:eastAsia="Times New Roman" w:hAnsi="Palatino Linotype" w:cs="Times New Roman"/>
          <w:snapToGrid w:val="0"/>
          <w:color w:val="000000"/>
          <w:sz w:val="20"/>
          <w:lang w:val="en-US" w:eastAsia="de-DE" w:bidi="en-US"/>
        </w:rPr>
        <w:t>, weighted and summed results for the pectin and wholesale waste valorisation scenarios.</w:t>
      </w:r>
    </w:p>
    <w:p w14:paraId="245F6318" w14:textId="77777777" w:rsidR="00932CE4" w:rsidRPr="004C5401" w:rsidRDefault="00932CE4" w:rsidP="00932CE4">
      <w:pPr>
        <w:adjustRightInd w:val="0"/>
        <w:snapToGrid w:val="0"/>
        <w:spacing w:after="0" w:line="260" w:lineRule="atLeast"/>
        <w:ind w:firstLine="425"/>
        <w:jc w:val="both"/>
        <w:rPr>
          <w:rFonts w:ascii="Palatino Linotype" w:eastAsia="Times New Roman" w:hAnsi="Palatino Linotype" w:cs="Times New Roman"/>
          <w:snapToGrid w:val="0"/>
          <w:color w:val="000000"/>
          <w:sz w:val="20"/>
          <w:szCs w:val="20"/>
          <w:lang w:val="en-US" w:eastAsia="de-DE" w:bidi="en-US"/>
        </w:rPr>
      </w:pPr>
    </w:p>
    <w:p w14:paraId="42757453" w14:textId="0B3C9D6F" w:rsidR="00932CE4" w:rsidRDefault="00932CE4" w:rsidP="00932CE4">
      <w:pPr>
        <w:spacing w:after="0"/>
        <w:ind w:left="454"/>
        <w:rPr>
          <w:rFonts w:ascii="Palatino Linotype" w:hAnsi="Palatino Linotype"/>
          <w:i/>
          <w:sz w:val="20"/>
        </w:rPr>
      </w:pPr>
      <w:r>
        <w:rPr>
          <w:rFonts w:ascii="Palatino Linotype" w:hAnsi="Palatino Linotype"/>
          <w:sz w:val="20"/>
        </w:rPr>
        <w:lastRenderedPageBreak/>
        <w:t xml:space="preserve">2.5 </w:t>
      </w:r>
      <w:r w:rsidRPr="001B7AFF">
        <w:rPr>
          <w:rFonts w:ascii="Palatino Linotype" w:hAnsi="Palatino Linotype"/>
          <w:i/>
          <w:sz w:val="20"/>
        </w:rPr>
        <w:t>SWaVI Stage 5: Sensitivity Analysis, Interpretation and Selection of Valorisation Strategy</w:t>
      </w:r>
    </w:p>
    <w:p w14:paraId="5899CDD5" w14:textId="00DCE957" w:rsidR="00F128E7" w:rsidRDefault="006F05E4" w:rsidP="000F602A">
      <w:pPr>
        <w:spacing w:after="0"/>
        <w:ind w:left="454"/>
        <w:rPr>
          <w:rFonts w:ascii="Palatino Linotype" w:hAnsi="Palatino Linotype"/>
          <w:sz w:val="20"/>
        </w:rPr>
      </w:pPr>
      <w:r w:rsidRPr="00332DBE">
        <w:rPr>
          <w:rFonts w:ascii="Palatino Linotype" w:eastAsia="Times New Roman" w:hAnsi="Palatino Linotype" w:cs="Times New Roman"/>
          <w:snapToGrid w:val="0"/>
          <w:color w:val="000000"/>
          <w:sz w:val="20"/>
          <w:lang w:val="en-US" w:eastAsia="de-DE" w:bidi="en-US"/>
        </w:rPr>
        <w:t xml:space="preserve">A full sensitivity analysis was performed for </w:t>
      </w:r>
      <w:proofErr w:type="gramStart"/>
      <w:r w:rsidRPr="00332DBE">
        <w:rPr>
          <w:rFonts w:ascii="Palatino Linotype" w:eastAsia="Times New Roman" w:hAnsi="Palatino Linotype" w:cs="Times New Roman"/>
          <w:snapToGrid w:val="0"/>
          <w:color w:val="000000"/>
          <w:sz w:val="20"/>
          <w:lang w:val="en-US" w:eastAsia="de-DE" w:bidi="en-US"/>
        </w:rPr>
        <w:t>all of</w:t>
      </w:r>
      <w:proofErr w:type="gramEnd"/>
      <w:r w:rsidRPr="00332DBE">
        <w:rPr>
          <w:rFonts w:ascii="Palatino Linotype" w:eastAsia="Times New Roman" w:hAnsi="Palatino Linotype" w:cs="Times New Roman"/>
          <w:snapToGrid w:val="0"/>
          <w:color w:val="000000"/>
          <w:sz w:val="20"/>
          <w:lang w:val="en-US" w:eastAsia="de-DE" w:bidi="en-US"/>
        </w:rPr>
        <w:t xml:space="preserve"> the set-up and running costs modelled for each scenario. This was performed as a what-if analysis data table in Microsoft </w:t>
      </w:r>
      <w:r>
        <w:rPr>
          <w:rFonts w:ascii="Palatino Linotype" w:eastAsia="Times New Roman" w:hAnsi="Palatino Linotype" w:cs="Times New Roman"/>
          <w:snapToGrid w:val="0"/>
          <w:color w:val="000000"/>
          <w:sz w:val="20"/>
          <w:lang w:val="en-US" w:eastAsia="de-DE" w:bidi="en-US"/>
        </w:rPr>
        <w:t>E</w:t>
      </w:r>
      <w:r w:rsidRPr="00332DBE">
        <w:rPr>
          <w:rFonts w:ascii="Palatino Linotype" w:eastAsia="Times New Roman" w:hAnsi="Palatino Linotype" w:cs="Times New Roman"/>
          <w:snapToGrid w:val="0"/>
          <w:color w:val="000000"/>
          <w:sz w:val="20"/>
          <w:lang w:val="en-US" w:eastAsia="de-DE" w:bidi="en-US"/>
        </w:rPr>
        <w:t>xcel where the costs for energy, consumable, labor costs and pectin value for the MAPE scenario and transport</w:t>
      </w:r>
      <w:r>
        <w:rPr>
          <w:rFonts w:ascii="Palatino Linotype" w:eastAsia="Times New Roman" w:hAnsi="Palatino Linotype" w:cs="Times New Roman"/>
          <w:snapToGrid w:val="0"/>
          <w:color w:val="000000"/>
          <w:sz w:val="20"/>
          <w:lang w:val="en-US" w:eastAsia="de-DE" w:bidi="en-US"/>
        </w:rPr>
        <w:t xml:space="preserve"> </w:t>
      </w:r>
      <w:r w:rsidRPr="00332DBE">
        <w:rPr>
          <w:rFonts w:ascii="Palatino Linotype" w:eastAsia="Times New Roman" w:hAnsi="Palatino Linotype" w:cs="Times New Roman"/>
          <w:snapToGrid w:val="0"/>
          <w:color w:val="000000"/>
          <w:sz w:val="20"/>
          <w:lang w:val="en-US" w:eastAsia="de-DE" w:bidi="en-US"/>
        </w:rPr>
        <w:t>2</w:t>
      </w:r>
      <w:r w:rsidRPr="00B825B7">
        <w:rPr>
          <w:rFonts w:ascii="Palatino Linotype" w:eastAsia="Times New Roman" w:hAnsi="Palatino Linotype" w:cs="Times New Roman"/>
          <w:snapToGrid w:val="0"/>
          <w:color w:val="000000"/>
          <w:sz w:val="20"/>
          <w:vertAlign w:val="superscript"/>
          <w:lang w:val="en-US" w:eastAsia="de-DE" w:bidi="en-US"/>
        </w:rPr>
        <w:t>nd</w:t>
      </w:r>
      <w:r w:rsidRPr="00332DBE">
        <w:rPr>
          <w:rFonts w:ascii="Palatino Linotype" w:eastAsia="Times New Roman" w:hAnsi="Palatino Linotype" w:cs="Times New Roman"/>
          <w:snapToGrid w:val="0"/>
          <w:color w:val="000000"/>
          <w:sz w:val="20"/>
          <w:lang w:val="en-US" w:eastAsia="de-DE" w:bidi="en-US"/>
        </w:rPr>
        <w:t xml:space="preserve"> class citrus value for the wholesale scenario were increased and decreased incrementally by 5% to identify the point at which the scenario ceased to become viable.</w:t>
      </w:r>
    </w:p>
    <w:p w14:paraId="75331126" w14:textId="7A696030" w:rsidR="00932CE4" w:rsidRDefault="00932CE4" w:rsidP="00932CE4">
      <w:pPr>
        <w:adjustRightInd w:val="0"/>
        <w:snapToGrid w:val="0"/>
        <w:spacing w:after="0" w:line="260" w:lineRule="atLeast"/>
        <w:ind w:left="425"/>
        <w:jc w:val="both"/>
        <w:rPr>
          <w:rFonts w:ascii="Palatino Linotype" w:eastAsia="Times New Roman" w:hAnsi="Palatino Linotype" w:cs="Times New Roman"/>
          <w:snapToGrid w:val="0"/>
          <w:color w:val="000000"/>
          <w:sz w:val="20"/>
          <w:lang w:val="en-US" w:eastAsia="de-DE" w:bidi="en-US"/>
        </w:rPr>
      </w:pPr>
    </w:p>
    <w:p w14:paraId="379C14CA" w14:textId="18135994" w:rsidR="00932CE4" w:rsidRPr="00932CE4" w:rsidRDefault="00932CE4" w:rsidP="00932CE4">
      <w:pPr>
        <w:adjustRightInd w:val="0"/>
        <w:snapToGrid w:val="0"/>
        <w:spacing w:after="0" w:line="260" w:lineRule="atLeast"/>
        <w:ind w:left="425"/>
        <w:jc w:val="both"/>
        <w:rPr>
          <w:rFonts w:ascii="Palatino Linotype" w:eastAsia="Times New Roman" w:hAnsi="Palatino Linotype" w:cs="Times New Roman"/>
          <w:b/>
          <w:snapToGrid w:val="0"/>
          <w:color w:val="000000"/>
          <w:sz w:val="20"/>
          <w:lang w:val="en-US" w:eastAsia="de-DE" w:bidi="en-US"/>
        </w:rPr>
      </w:pPr>
      <w:r>
        <w:rPr>
          <w:rFonts w:ascii="Palatino Linotype" w:eastAsia="Times New Roman" w:hAnsi="Palatino Linotype" w:cs="Times New Roman"/>
          <w:b/>
          <w:snapToGrid w:val="0"/>
          <w:color w:val="000000"/>
          <w:sz w:val="20"/>
          <w:lang w:val="en-US" w:eastAsia="de-DE" w:bidi="en-US"/>
        </w:rPr>
        <w:t>References</w:t>
      </w:r>
    </w:p>
    <w:p w14:paraId="1B2BEC9E" w14:textId="77777777" w:rsidR="00932CE4" w:rsidRDefault="00932CE4" w:rsidP="00932CE4">
      <w:pPr>
        <w:adjustRightInd w:val="0"/>
        <w:snapToGrid w:val="0"/>
        <w:spacing w:after="0" w:line="260" w:lineRule="atLeast"/>
        <w:ind w:left="425"/>
        <w:jc w:val="both"/>
        <w:rPr>
          <w:rFonts w:ascii="Palatino Linotype" w:eastAsia="Times New Roman" w:hAnsi="Palatino Linotype" w:cs="Times New Roman"/>
          <w:snapToGrid w:val="0"/>
          <w:color w:val="000000"/>
          <w:sz w:val="20"/>
          <w:lang w:val="en-US" w:eastAsia="de-DE" w:bidi="en-US"/>
        </w:rPr>
      </w:pPr>
    </w:p>
    <w:p w14:paraId="4385E45F" w14:textId="54E9EA13" w:rsidR="004A590F" w:rsidRPr="004A590F" w:rsidRDefault="00720CB7" w:rsidP="004A590F">
      <w:pPr>
        <w:widowControl w:val="0"/>
        <w:autoSpaceDE w:val="0"/>
        <w:autoSpaceDN w:val="0"/>
        <w:adjustRightInd w:val="0"/>
        <w:spacing w:after="0" w:line="240" w:lineRule="auto"/>
        <w:ind w:left="640" w:hanging="640"/>
        <w:rPr>
          <w:rFonts w:ascii="Palatino Linotype" w:hAnsi="Palatino Linotype" w:cs="Times New Roman"/>
          <w:noProof/>
          <w:sz w:val="20"/>
          <w:szCs w:val="24"/>
        </w:rPr>
      </w:pPr>
      <w:r>
        <w:rPr>
          <w:rFonts w:ascii="Palatino Linotype" w:hAnsi="Palatino Linotype"/>
          <w:sz w:val="20"/>
        </w:rPr>
        <w:fldChar w:fldCharType="begin" w:fldLock="1"/>
      </w:r>
      <w:r>
        <w:rPr>
          <w:rFonts w:ascii="Palatino Linotype" w:hAnsi="Palatino Linotype"/>
          <w:sz w:val="20"/>
        </w:rPr>
        <w:instrText xml:space="preserve">ADDIN Mendeley Bibliography CSL_BIBLIOGRAPHY </w:instrText>
      </w:r>
      <w:r>
        <w:rPr>
          <w:rFonts w:ascii="Palatino Linotype" w:hAnsi="Palatino Linotype"/>
          <w:sz w:val="20"/>
        </w:rPr>
        <w:fldChar w:fldCharType="separate"/>
      </w:r>
      <w:r w:rsidR="004A590F" w:rsidRPr="004A590F">
        <w:rPr>
          <w:rFonts w:ascii="Palatino Linotype" w:hAnsi="Palatino Linotype" w:cs="Times New Roman"/>
          <w:noProof/>
          <w:sz w:val="20"/>
          <w:szCs w:val="24"/>
        </w:rPr>
        <w:t xml:space="preserve">1. </w:t>
      </w:r>
      <w:r w:rsidR="004A590F" w:rsidRPr="004A590F">
        <w:rPr>
          <w:rFonts w:ascii="Palatino Linotype" w:hAnsi="Palatino Linotype" w:cs="Times New Roman"/>
          <w:noProof/>
          <w:sz w:val="20"/>
          <w:szCs w:val="24"/>
        </w:rPr>
        <w:tab/>
        <w:t>Garcia Garcia G, Rahimifard S, Matharu AS, Dugmore TI. Life-Cycle Assessment of Microwave Assisted Pectin Extraction at Pilot-scale. ACS Sustainable Chemistry &amp; Engineering.</w:t>
      </w:r>
    </w:p>
    <w:p w14:paraId="0296F897" w14:textId="7579137E" w:rsidR="004A590F" w:rsidRPr="004A590F" w:rsidRDefault="004A590F" w:rsidP="004A590F">
      <w:pPr>
        <w:widowControl w:val="0"/>
        <w:autoSpaceDE w:val="0"/>
        <w:autoSpaceDN w:val="0"/>
        <w:adjustRightInd w:val="0"/>
        <w:spacing w:after="0" w:line="240" w:lineRule="auto"/>
        <w:ind w:left="640" w:hanging="640"/>
        <w:rPr>
          <w:rFonts w:ascii="Palatino Linotype" w:hAnsi="Palatino Linotype" w:cs="Times New Roman"/>
          <w:noProof/>
          <w:sz w:val="20"/>
          <w:szCs w:val="24"/>
        </w:rPr>
      </w:pPr>
      <w:r w:rsidRPr="004A590F">
        <w:rPr>
          <w:rFonts w:ascii="Palatino Linotype" w:hAnsi="Palatino Linotype" w:cs="Times New Roman"/>
          <w:noProof/>
          <w:sz w:val="20"/>
          <w:szCs w:val="24"/>
        </w:rPr>
        <w:t xml:space="preserve">2. </w:t>
      </w:r>
      <w:r w:rsidRPr="004A590F">
        <w:rPr>
          <w:rFonts w:ascii="Palatino Linotype" w:hAnsi="Palatino Linotype" w:cs="Times New Roman"/>
          <w:noProof/>
          <w:sz w:val="20"/>
          <w:szCs w:val="24"/>
        </w:rPr>
        <w:tab/>
        <w:t>Solberg Hjorth S, Brem A. How to assess market readiness for an innovative solution: The case of heat recovery technologies for SMEs. Sustainability. 2016 Nov 9;8(11):1152.</w:t>
      </w:r>
    </w:p>
    <w:p w14:paraId="74CB77CB" w14:textId="1D0DBDBF" w:rsidR="004A590F" w:rsidRPr="004A590F" w:rsidRDefault="004A590F" w:rsidP="004A590F">
      <w:pPr>
        <w:widowControl w:val="0"/>
        <w:autoSpaceDE w:val="0"/>
        <w:autoSpaceDN w:val="0"/>
        <w:adjustRightInd w:val="0"/>
        <w:spacing w:after="0" w:line="240" w:lineRule="auto"/>
        <w:ind w:left="640" w:hanging="640"/>
        <w:rPr>
          <w:rFonts w:ascii="Palatino Linotype" w:hAnsi="Palatino Linotype" w:cs="Times New Roman"/>
          <w:noProof/>
          <w:sz w:val="20"/>
          <w:szCs w:val="24"/>
        </w:rPr>
      </w:pPr>
      <w:r w:rsidRPr="004A590F">
        <w:rPr>
          <w:rFonts w:ascii="Palatino Linotype" w:hAnsi="Palatino Linotype" w:cs="Times New Roman"/>
          <w:noProof/>
          <w:sz w:val="20"/>
          <w:szCs w:val="24"/>
        </w:rPr>
        <w:t xml:space="preserve">3. </w:t>
      </w:r>
      <w:r w:rsidRPr="004A590F">
        <w:rPr>
          <w:rFonts w:ascii="Palatino Linotype" w:hAnsi="Palatino Linotype" w:cs="Times New Roman"/>
          <w:noProof/>
          <w:sz w:val="20"/>
          <w:szCs w:val="24"/>
        </w:rPr>
        <w:tab/>
        <w:t>Snell M. Cost–benefit analysis. Thomas Telford Ltd; 2011.</w:t>
      </w:r>
    </w:p>
    <w:p w14:paraId="3CBF96C4" w14:textId="04E53B8B" w:rsidR="004A590F" w:rsidRPr="004A590F" w:rsidRDefault="004A590F" w:rsidP="004A590F">
      <w:pPr>
        <w:widowControl w:val="0"/>
        <w:autoSpaceDE w:val="0"/>
        <w:autoSpaceDN w:val="0"/>
        <w:adjustRightInd w:val="0"/>
        <w:spacing w:after="0" w:line="240" w:lineRule="auto"/>
        <w:ind w:left="640" w:hanging="640"/>
        <w:rPr>
          <w:rFonts w:ascii="Palatino Linotype" w:hAnsi="Palatino Linotype" w:cs="Times New Roman"/>
          <w:noProof/>
          <w:sz w:val="20"/>
          <w:szCs w:val="24"/>
        </w:rPr>
      </w:pPr>
      <w:r w:rsidRPr="004A590F">
        <w:rPr>
          <w:rFonts w:ascii="Palatino Linotype" w:hAnsi="Palatino Linotype" w:cs="Times New Roman"/>
          <w:noProof/>
          <w:sz w:val="20"/>
          <w:szCs w:val="24"/>
        </w:rPr>
        <w:t xml:space="preserve">4. </w:t>
      </w:r>
      <w:r w:rsidRPr="004A590F">
        <w:rPr>
          <w:rFonts w:ascii="Palatino Linotype" w:hAnsi="Palatino Linotype" w:cs="Times New Roman"/>
          <w:noProof/>
          <w:sz w:val="20"/>
          <w:szCs w:val="24"/>
        </w:rPr>
        <w:tab/>
        <w:t>OECD. Long-term Interest Rates [Internet]. Available from: https://data.oecd.org/interest/long-term-interest-rates.htm</w:t>
      </w:r>
      <w:r>
        <w:rPr>
          <w:rFonts w:ascii="Palatino Linotype" w:hAnsi="Palatino Linotype" w:cs="Times New Roman"/>
          <w:noProof/>
          <w:sz w:val="20"/>
          <w:szCs w:val="24"/>
        </w:rPr>
        <w:t>. Accessed 12/03/2019.</w:t>
      </w:r>
    </w:p>
    <w:p w14:paraId="1D07BCE4" w14:textId="44B36878" w:rsidR="004A590F" w:rsidRPr="004A590F" w:rsidRDefault="004A590F" w:rsidP="004A590F">
      <w:pPr>
        <w:widowControl w:val="0"/>
        <w:autoSpaceDE w:val="0"/>
        <w:autoSpaceDN w:val="0"/>
        <w:adjustRightInd w:val="0"/>
        <w:spacing w:after="0" w:line="240" w:lineRule="auto"/>
        <w:ind w:left="640" w:hanging="640"/>
        <w:rPr>
          <w:rFonts w:ascii="Palatino Linotype" w:hAnsi="Palatino Linotype"/>
          <w:noProof/>
          <w:sz w:val="20"/>
        </w:rPr>
      </w:pPr>
      <w:r w:rsidRPr="004A590F">
        <w:rPr>
          <w:rFonts w:ascii="Palatino Linotype" w:hAnsi="Palatino Linotype" w:cs="Times New Roman"/>
          <w:noProof/>
          <w:sz w:val="20"/>
          <w:szCs w:val="24"/>
        </w:rPr>
        <w:t xml:space="preserve">5. </w:t>
      </w:r>
      <w:r w:rsidRPr="004A590F">
        <w:rPr>
          <w:rFonts w:ascii="Palatino Linotype" w:hAnsi="Palatino Linotype" w:cs="Times New Roman"/>
          <w:noProof/>
          <w:sz w:val="20"/>
          <w:szCs w:val="24"/>
        </w:rPr>
        <w:tab/>
        <w:t>Sharma K, Mahato N, Cho MH, Lee YR. Converting citrus wastes into value-added products: Economic and environmently friendly approaches. Nutrition. 2017 Feb 1;34:29-46.</w:t>
      </w:r>
    </w:p>
    <w:p w14:paraId="0EB6198D" w14:textId="3B3AF6BC" w:rsidR="005005DE" w:rsidRPr="004C5401" w:rsidRDefault="00720CB7" w:rsidP="00932CE4">
      <w:pPr>
        <w:spacing w:after="0"/>
        <w:ind w:left="454"/>
        <w:rPr>
          <w:rFonts w:ascii="Palatino Linotype" w:eastAsia="Times New Roman" w:hAnsi="Palatino Linotype" w:cs="Times New Roman"/>
          <w:snapToGrid w:val="0"/>
          <w:color w:val="000000"/>
          <w:sz w:val="20"/>
          <w:szCs w:val="20"/>
          <w:lang w:val="en-US" w:eastAsia="de-DE" w:bidi="en-US"/>
        </w:rPr>
      </w:pPr>
      <w:r>
        <w:rPr>
          <w:rFonts w:ascii="Palatino Linotype" w:hAnsi="Palatino Linotype"/>
          <w:sz w:val="20"/>
        </w:rPr>
        <w:fldChar w:fldCharType="end"/>
      </w:r>
    </w:p>
    <w:p w14:paraId="686778E5" w14:textId="4C5BFF98" w:rsidR="001E10BF" w:rsidRPr="001E10BF" w:rsidRDefault="001E10BF" w:rsidP="001E10BF">
      <w:pPr>
        <w:spacing w:after="0"/>
        <w:rPr>
          <w:rFonts w:ascii="Palatino Linotype" w:hAnsi="Palatino Linotype"/>
          <w:sz w:val="20"/>
        </w:rPr>
      </w:pPr>
      <w:bookmarkStart w:id="7" w:name="_GoBack"/>
      <w:bookmarkEnd w:id="7"/>
    </w:p>
    <w:sectPr w:rsidR="001E10BF" w:rsidRPr="001E10BF" w:rsidSect="000F368B">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9A3BE" w14:textId="77777777" w:rsidR="0015498D" w:rsidRDefault="0015498D" w:rsidP="003752C0">
      <w:pPr>
        <w:spacing w:after="0" w:line="240" w:lineRule="auto"/>
      </w:pPr>
      <w:r>
        <w:separator/>
      </w:r>
    </w:p>
  </w:endnote>
  <w:endnote w:type="continuationSeparator" w:id="0">
    <w:p w14:paraId="76D522AE" w14:textId="77777777" w:rsidR="0015498D" w:rsidRDefault="0015498D" w:rsidP="00375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160033"/>
      <w:docPartObj>
        <w:docPartGallery w:val="Page Numbers (Bottom of Page)"/>
        <w:docPartUnique/>
      </w:docPartObj>
    </w:sdtPr>
    <w:sdtEndPr>
      <w:rPr>
        <w:noProof/>
      </w:rPr>
    </w:sdtEndPr>
    <w:sdtContent>
      <w:p w14:paraId="6FF017AA" w14:textId="7A2903EC" w:rsidR="0015498D" w:rsidRDefault="001549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85A72D" w14:textId="77777777" w:rsidR="0015498D" w:rsidRDefault="00154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C1023" w14:textId="77777777" w:rsidR="0015498D" w:rsidRDefault="0015498D" w:rsidP="003752C0">
      <w:pPr>
        <w:spacing w:after="0" w:line="240" w:lineRule="auto"/>
      </w:pPr>
      <w:r>
        <w:separator/>
      </w:r>
    </w:p>
  </w:footnote>
  <w:footnote w:type="continuationSeparator" w:id="0">
    <w:p w14:paraId="4A9802F0" w14:textId="77777777" w:rsidR="0015498D" w:rsidRDefault="0015498D" w:rsidP="003752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275CD"/>
    <w:multiLevelType w:val="hybridMultilevel"/>
    <w:tmpl w:val="279E2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8D7"/>
    <w:rsid w:val="000141AC"/>
    <w:rsid w:val="000162CF"/>
    <w:rsid w:val="000651BF"/>
    <w:rsid w:val="00086E6A"/>
    <w:rsid w:val="000A05EF"/>
    <w:rsid w:val="000B7492"/>
    <w:rsid w:val="000C57A2"/>
    <w:rsid w:val="000D2BF0"/>
    <w:rsid w:val="000F368B"/>
    <w:rsid w:val="000F602A"/>
    <w:rsid w:val="0015498D"/>
    <w:rsid w:val="001B7AFF"/>
    <w:rsid w:val="001D315E"/>
    <w:rsid w:val="001E10BF"/>
    <w:rsid w:val="00261376"/>
    <w:rsid w:val="002E7E4A"/>
    <w:rsid w:val="00301828"/>
    <w:rsid w:val="0031749C"/>
    <w:rsid w:val="00322233"/>
    <w:rsid w:val="003509B1"/>
    <w:rsid w:val="003752C0"/>
    <w:rsid w:val="003D069F"/>
    <w:rsid w:val="003F19A1"/>
    <w:rsid w:val="00412BE6"/>
    <w:rsid w:val="0042747F"/>
    <w:rsid w:val="00473A36"/>
    <w:rsid w:val="004A590F"/>
    <w:rsid w:val="004E2E81"/>
    <w:rsid w:val="005005DE"/>
    <w:rsid w:val="00594D12"/>
    <w:rsid w:val="00595931"/>
    <w:rsid w:val="005B0AB8"/>
    <w:rsid w:val="005B34F7"/>
    <w:rsid w:val="005D5384"/>
    <w:rsid w:val="00653EF1"/>
    <w:rsid w:val="00660336"/>
    <w:rsid w:val="006A3A0D"/>
    <w:rsid w:val="006E1C11"/>
    <w:rsid w:val="006F05E4"/>
    <w:rsid w:val="00715FC6"/>
    <w:rsid w:val="00720CB7"/>
    <w:rsid w:val="007304CA"/>
    <w:rsid w:val="00746214"/>
    <w:rsid w:val="00760D1C"/>
    <w:rsid w:val="00772171"/>
    <w:rsid w:val="0077531C"/>
    <w:rsid w:val="00780387"/>
    <w:rsid w:val="00783242"/>
    <w:rsid w:val="007C225B"/>
    <w:rsid w:val="008278D7"/>
    <w:rsid w:val="008620B4"/>
    <w:rsid w:val="008A7B92"/>
    <w:rsid w:val="008C6B90"/>
    <w:rsid w:val="008D4530"/>
    <w:rsid w:val="00932CE4"/>
    <w:rsid w:val="009370EF"/>
    <w:rsid w:val="00970775"/>
    <w:rsid w:val="009713D1"/>
    <w:rsid w:val="00975A6C"/>
    <w:rsid w:val="009A485B"/>
    <w:rsid w:val="009C589A"/>
    <w:rsid w:val="00A05244"/>
    <w:rsid w:val="00AB625C"/>
    <w:rsid w:val="00BD0D87"/>
    <w:rsid w:val="00BD1209"/>
    <w:rsid w:val="00BE3E84"/>
    <w:rsid w:val="00C03686"/>
    <w:rsid w:val="00C44AD7"/>
    <w:rsid w:val="00CB0DBF"/>
    <w:rsid w:val="00D301DD"/>
    <w:rsid w:val="00D37A6D"/>
    <w:rsid w:val="00D83AB7"/>
    <w:rsid w:val="00DA1B4B"/>
    <w:rsid w:val="00DC67CC"/>
    <w:rsid w:val="00E27E68"/>
    <w:rsid w:val="00EA3EF6"/>
    <w:rsid w:val="00F128E7"/>
    <w:rsid w:val="00F20062"/>
    <w:rsid w:val="00FB0EB1"/>
    <w:rsid w:val="00FB2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83EC3E"/>
  <w15:chartTrackingRefBased/>
  <w15:docId w15:val="{C5E43E98-662D-4E6B-943C-19A91DA3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78D7"/>
    <w:pPr>
      <w:spacing w:after="0" w:line="240" w:lineRule="auto"/>
      <w:contextualSpacing/>
    </w:pPr>
    <w:rPr>
      <w:rFonts w:ascii="Palatino Linotype" w:eastAsiaTheme="majorEastAsia" w:hAnsi="Palatino Linotype" w:cstheme="majorBidi"/>
      <w:color w:val="000000" w:themeColor="text1"/>
      <w:spacing w:val="-10"/>
      <w:kern w:val="28"/>
      <w:sz w:val="40"/>
      <w:szCs w:val="56"/>
    </w:rPr>
  </w:style>
  <w:style w:type="character" w:customStyle="1" w:styleId="TitleChar">
    <w:name w:val="Title Char"/>
    <w:basedOn w:val="DefaultParagraphFont"/>
    <w:link w:val="Title"/>
    <w:uiPriority w:val="10"/>
    <w:rsid w:val="008278D7"/>
    <w:rPr>
      <w:rFonts w:ascii="Palatino Linotype" w:eastAsiaTheme="majorEastAsia" w:hAnsi="Palatino Linotype" w:cstheme="majorBidi"/>
      <w:color w:val="000000" w:themeColor="text1"/>
      <w:spacing w:val="-10"/>
      <w:kern w:val="28"/>
      <w:sz w:val="40"/>
      <w:szCs w:val="56"/>
    </w:rPr>
  </w:style>
  <w:style w:type="table" w:styleId="TableGrid">
    <w:name w:val="Table Grid"/>
    <w:basedOn w:val="TableNormal"/>
    <w:uiPriority w:val="39"/>
    <w:rsid w:val="00FB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005DE"/>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524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80387"/>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F05E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05E4"/>
    <w:rPr>
      <w:sz w:val="16"/>
      <w:szCs w:val="16"/>
    </w:rPr>
  </w:style>
  <w:style w:type="paragraph" w:styleId="CommentText">
    <w:name w:val="annotation text"/>
    <w:basedOn w:val="Normal"/>
    <w:link w:val="CommentTextChar"/>
    <w:uiPriority w:val="99"/>
    <w:semiHidden/>
    <w:unhideWhenUsed/>
    <w:rsid w:val="006F05E4"/>
    <w:pPr>
      <w:spacing w:line="240" w:lineRule="auto"/>
    </w:pPr>
    <w:rPr>
      <w:sz w:val="20"/>
      <w:szCs w:val="20"/>
    </w:rPr>
  </w:style>
  <w:style w:type="character" w:customStyle="1" w:styleId="CommentTextChar">
    <w:name w:val="Comment Text Char"/>
    <w:basedOn w:val="DefaultParagraphFont"/>
    <w:link w:val="CommentText"/>
    <w:uiPriority w:val="99"/>
    <w:semiHidden/>
    <w:rsid w:val="006F05E4"/>
    <w:rPr>
      <w:sz w:val="20"/>
      <w:szCs w:val="20"/>
    </w:rPr>
  </w:style>
  <w:style w:type="paragraph" w:styleId="CommentSubject">
    <w:name w:val="annotation subject"/>
    <w:basedOn w:val="CommentText"/>
    <w:next w:val="CommentText"/>
    <w:link w:val="CommentSubjectChar"/>
    <w:uiPriority w:val="99"/>
    <w:semiHidden/>
    <w:unhideWhenUsed/>
    <w:rsid w:val="006F05E4"/>
    <w:rPr>
      <w:b/>
      <w:bCs/>
    </w:rPr>
  </w:style>
  <w:style w:type="character" w:customStyle="1" w:styleId="CommentSubjectChar">
    <w:name w:val="Comment Subject Char"/>
    <w:basedOn w:val="CommentTextChar"/>
    <w:link w:val="CommentSubject"/>
    <w:uiPriority w:val="99"/>
    <w:semiHidden/>
    <w:rsid w:val="006F05E4"/>
    <w:rPr>
      <w:b/>
      <w:bCs/>
      <w:sz w:val="20"/>
      <w:szCs w:val="20"/>
    </w:rPr>
  </w:style>
  <w:style w:type="paragraph" w:styleId="BalloonText">
    <w:name w:val="Balloon Text"/>
    <w:basedOn w:val="Normal"/>
    <w:link w:val="BalloonTextChar"/>
    <w:uiPriority w:val="99"/>
    <w:semiHidden/>
    <w:unhideWhenUsed/>
    <w:rsid w:val="006F0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5E4"/>
    <w:rPr>
      <w:rFonts w:ascii="Segoe UI" w:hAnsi="Segoe UI" w:cs="Segoe UI"/>
      <w:sz w:val="18"/>
      <w:szCs w:val="18"/>
    </w:rPr>
  </w:style>
  <w:style w:type="paragraph" w:styleId="ListParagraph">
    <w:name w:val="List Paragraph"/>
    <w:basedOn w:val="Normal"/>
    <w:uiPriority w:val="34"/>
    <w:qFormat/>
    <w:rsid w:val="006F05E4"/>
    <w:pPr>
      <w:ind w:left="720"/>
      <w:contextualSpacing/>
    </w:pPr>
  </w:style>
  <w:style w:type="paragraph" w:styleId="Header">
    <w:name w:val="header"/>
    <w:basedOn w:val="Normal"/>
    <w:link w:val="HeaderChar"/>
    <w:uiPriority w:val="99"/>
    <w:unhideWhenUsed/>
    <w:rsid w:val="003752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2C0"/>
  </w:style>
  <w:style w:type="paragraph" w:styleId="Footer">
    <w:name w:val="footer"/>
    <w:basedOn w:val="Normal"/>
    <w:link w:val="FooterChar"/>
    <w:uiPriority w:val="99"/>
    <w:unhideWhenUsed/>
    <w:rsid w:val="00375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2C0"/>
  </w:style>
  <w:style w:type="character" w:styleId="LineNumber">
    <w:name w:val="line number"/>
    <w:basedOn w:val="DefaultParagraphFont"/>
    <w:uiPriority w:val="99"/>
    <w:semiHidden/>
    <w:unhideWhenUsed/>
    <w:rsid w:val="000F3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38011-1BDA-4543-94DF-B829D2696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10</Pages>
  <Words>4522</Words>
  <Characters>25780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stone</dc:creator>
  <cp:keywords/>
  <dc:description/>
  <cp:lastModifiedBy>jamie stone</cp:lastModifiedBy>
  <cp:revision>1</cp:revision>
  <dcterms:created xsi:type="dcterms:W3CDTF">2019-02-28T18:38:00Z</dcterms:created>
  <dcterms:modified xsi:type="dcterms:W3CDTF">2019-03-12T23:09:00Z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http://csl.mendeley.com/styles/488977711/vancouver-brackets</vt:lpwstr>
  </property>
  <property fmtid="{D5CDD505-2E9C-101B-9397-08002B2CF9AE}" pid="21" name="Mendeley Recent Style Name 9_1">
    <vt:lpwstr>Vancouver (brackets) - Jamie Stone</vt:lpwstr>
  </property>
  <property fmtid="{D5CDD505-2E9C-101B-9397-08002B2CF9AE}" pid="22" name="Mendeley Document_1">
    <vt:lpwstr>True</vt:lpwstr>
  </property>
  <property fmtid="{D5CDD505-2E9C-101B-9397-08002B2CF9AE}" pid="23" name="Mendeley Unique User Id_1">
    <vt:lpwstr>7c8235dc-7991-35dc-8dd0-97973d2c7dc5</vt:lpwstr>
  </property>
  <property fmtid="{D5CDD505-2E9C-101B-9397-08002B2CF9AE}" pid="24" name="Mendeley Citation Style_1">
    <vt:lpwstr>http://csl.mendeley.com/styles/488977711/vancouver-brackets</vt:lpwstr>
  </property>
</Properties>
</file>