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30" w:rsidRPr="00F51D30" w:rsidRDefault="00390562" w:rsidP="00D664A0">
      <w:pPr>
        <w:pStyle w:val="Normal1"/>
        <w:bidi w:val="0"/>
        <w:spacing w:before="240"/>
        <w:jc w:val="both"/>
        <w:rPr>
          <w:rFonts w:asciiTheme="majorBidi" w:eastAsia="Cambria" w:hAnsiTheme="majorBidi" w:cstheme="majorBidi"/>
          <w:b/>
          <w:bCs/>
          <w:sz w:val="24"/>
          <w:szCs w:val="24"/>
        </w:rPr>
      </w:pPr>
      <w:r>
        <w:rPr>
          <w:rFonts w:asciiTheme="majorBidi" w:eastAsia="Cambria" w:hAnsiTheme="majorBidi" w:cstheme="majorBidi"/>
          <w:b/>
          <w:bCs/>
          <w:sz w:val="24"/>
          <w:szCs w:val="24"/>
        </w:rPr>
        <w:t xml:space="preserve">Supplementary </w:t>
      </w:r>
      <w:bookmarkStart w:id="0" w:name="_GoBack"/>
      <w:bookmarkEnd w:id="0"/>
      <w:r w:rsidR="00F51D30" w:rsidRPr="00F51D30">
        <w:rPr>
          <w:rFonts w:asciiTheme="majorBidi" w:eastAsia="Cambria" w:hAnsiTheme="majorBidi" w:cstheme="majorBidi"/>
          <w:b/>
          <w:bCs/>
          <w:sz w:val="24"/>
          <w:szCs w:val="24"/>
        </w:rPr>
        <w:t>Table 1: Proteins extracted from references</w:t>
      </w:r>
    </w:p>
    <w:tbl>
      <w:tblPr>
        <w:tblStyle w:val="PlainTable21"/>
        <w:tblW w:w="8838" w:type="dxa"/>
        <w:jc w:val="center"/>
        <w:tblLook w:val="04A0" w:firstRow="1" w:lastRow="0" w:firstColumn="1" w:lastColumn="0" w:noHBand="0" w:noVBand="1"/>
      </w:tblPr>
      <w:tblGrid>
        <w:gridCol w:w="1539"/>
        <w:gridCol w:w="1440"/>
        <w:gridCol w:w="4680"/>
        <w:gridCol w:w="1179"/>
        <w:tblGridChange w:id="1">
          <w:tblGrid>
            <w:gridCol w:w="1539"/>
            <w:gridCol w:w="1440"/>
            <w:gridCol w:w="4680"/>
            <w:gridCol w:w="1179"/>
          </w:tblGrid>
        </w:tblGridChange>
      </w:tblGrid>
      <w:tr w:rsidR="00F51D30" w:rsidRPr="00CA372A" w:rsidTr="00CE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18" w:space="0" w:color="auto"/>
            </w:tcBorders>
            <w:noWrap/>
            <w:hideMark/>
          </w:tcPr>
          <w:p w:rsidR="00F51D30" w:rsidRPr="00CE1098" w:rsidRDefault="00F51D30" w:rsidP="00CE109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E1098">
              <w:rPr>
                <w:rFonts w:asciiTheme="majorBidi" w:hAnsiTheme="majorBidi" w:cstheme="majorBidi"/>
                <w:sz w:val="20"/>
                <w:szCs w:val="20"/>
              </w:rPr>
              <w:t>Uniprot</w:t>
            </w:r>
            <w:proofErr w:type="spellEnd"/>
            <w:r w:rsidRPr="00CE1098">
              <w:rPr>
                <w:rFonts w:asciiTheme="majorBidi" w:hAnsiTheme="majorBidi" w:cstheme="majorBidi"/>
                <w:sz w:val="20"/>
                <w:szCs w:val="20"/>
              </w:rPr>
              <w:t xml:space="preserve"> ACCs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noWrap/>
            <w:hideMark/>
          </w:tcPr>
          <w:p w:rsidR="00F51D30" w:rsidRPr="00CE1098" w:rsidRDefault="00F51D30" w:rsidP="00CE10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E1098">
              <w:rPr>
                <w:rFonts w:asciiTheme="majorBidi" w:hAnsiTheme="majorBidi" w:cstheme="majorBidi"/>
                <w:sz w:val="20"/>
                <w:szCs w:val="20"/>
              </w:rPr>
              <w:t>Gene Names</w:t>
            </w:r>
          </w:p>
        </w:tc>
        <w:tc>
          <w:tcPr>
            <w:tcW w:w="4680" w:type="dxa"/>
            <w:tcBorders>
              <w:top w:val="single" w:sz="18" w:space="0" w:color="auto"/>
            </w:tcBorders>
            <w:noWrap/>
            <w:hideMark/>
          </w:tcPr>
          <w:p w:rsidR="00F51D30" w:rsidRPr="00CE1098" w:rsidRDefault="00F51D30" w:rsidP="00CE10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E1098">
              <w:rPr>
                <w:rFonts w:asciiTheme="majorBidi" w:hAnsiTheme="majorBidi" w:cstheme="majorBidi"/>
                <w:sz w:val="20"/>
                <w:szCs w:val="20"/>
              </w:rPr>
              <w:t>Description</w:t>
            </w:r>
          </w:p>
        </w:tc>
        <w:tc>
          <w:tcPr>
            <w:tcW w:w="1179" w:type="dxa"/>
            <w:tcBorders>
              <w:top w:val="single" w:sz="18" w:space="0" w:color="auto"/>
            </w:tcBorders>
          </w:tcPr>
          <w:p w:rsidR="00F51D30" w:rsidRPr="00CE1098" w:rsidRDefault="00F51D30" w:rsidP="00CE109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E1098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O00716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E2F3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E2F transcription factor 3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O00762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UBE2C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Ubiquitin-conjugating enzyme E2C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O43399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TPD52L2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Tumor protein D52-like 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O43915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FIGF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C-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fos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induced growth factor (vascular endothelial growth factor D)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P01116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KRAS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V-Ki-ras2 Kirsten rat sarcoma viral oncogene homolog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P04626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ERBB2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V-erb-b2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erythroblastic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leukemia viral oncogene homolog 2, neuro/glioblastoma derived oncogene homolog (avian)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[6, 7]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P05451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REG1A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Regenerating islet-derived 1 alpha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[8]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P07737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PFN1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Profilin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[9]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P04637</w:t>
            </w:r>
          </w:p>
        </w:tc>
        <w:tc>
          <w:tcPr>
            <w:tcW w:w="1440" w:type="dxa"/>
            <w:noWrap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TP53</w:t>
            </w:r>
          </w:p>
        </w:tc>
        <w:tc>
          <w:tcPr>
            <w:tcW w:w="4680" w:type="dxa"/>
            <w:noWrap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Cellular tumor antigen p53</w:t>
            </w:r>
          </w:p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[10, 11]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P07992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ERCC1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Excision repair cross-complementing rodent repair deficiency, complementation group 1 (includes overlapping antisense sequence)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[12]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P08069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IGF1R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Insulin-like growth factor 1 receptor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[13]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P08581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MET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Met proto-oncogene (hepatocyte growth factor receptor)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[14]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P09429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HMGB1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High-mobility group box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[15]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P10145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CXCL8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Interleukin 8</w:t>
            </w:r>
          </w:p>
        </w:tc>
        <w:tc>
          <w:tcPr>
            <w:tcW w:w="1179" w:type="dxa"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39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P10635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CYP2D6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Cytochrome P450, family 2, subfamily D, polypeptide 6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[16]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P14210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HGF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Hepatocyte growth factor (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hepapoietin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A; scatter factor)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[14]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P14780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MMP9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Matrix metallopeptidase 9 (gelatinase B, 92kDa gelatinase, 92kDa type IV collagenase)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[17, 18]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P16070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CD44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CD44 molecule (Indian blood group)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[19]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P16220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CREB1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CAMP responsive element binding protein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P20248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CCNA2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Cyclin A2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P21926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CD9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CD9 molecule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[21]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P24941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CDK2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Cyclin-dependent kinase 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P27695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APEX1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APEX nuclease (multifunctional DNA repair enzyme)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[22]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P29350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PTPN6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Protein tyrosine phosphatase, non-receptor type 6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[23]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P30990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NTS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Neurotensin</w:t>
            </w:r>
            <w:proofErr w:type="spellEnd"/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[17]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P31749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AKT1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V-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akt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murine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thymoma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viral oncogene homolog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[24, 25]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P31751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AKT2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V-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akt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murine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thymoma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viral oncogene homolog 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[26]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P35716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SOX11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SRY (sex determining region Y)-box 11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P37059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HSD17B2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Hydroxysteroid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(17-beta) dehydrogenase 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[27]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P37275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ZEB1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Zinc finger E-box binding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homeobox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[28, 29]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P41221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WNT5A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Wingless-type MMTV integration site family, member 5A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P42336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PIK3CA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Phosphoinositide-3-kinase, catalytic, alpha polypeptide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[5, 26, 31]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P42345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MTOR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FK506 binding protein 12-rapamycin associated protein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[4, 31]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P46013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MKI67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Antigen identified by monoclonal antibody Ki-67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[10]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P46527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CDKN1B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Cyclin-dependent kinase inhibitor 1B (p27, Kip1)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P46531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NOTCH1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Notch homolog 1, translocation-associated (Drosophila)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[25, 32, 33]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P49767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VEGFC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Vascular endothelial growth factor C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P50281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MMP14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Matrix metallopeptidase 14 (membrane-inserted)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[34]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P50616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TOB1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Transducer of ERBB2,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[7]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P51679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CCR4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Chemokine (C-C motif) receptor 4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[7]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P60484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PTEN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Phosphatase and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tensin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homolog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[25, 33]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P61586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RHOA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Ras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homolog gene family, member A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[35]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P78536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ADAM17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ADAM metallopeptidase domain 17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[36]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P98177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FOXO4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Forkhead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box O4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[37]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Q00534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CDK6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Cyclin-dependent kinase 6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Q00653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NFKB2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Nuclear factor of kappa light polypeptide gene enhancer in B-cells 2 (p49/p100)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[38]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Q03135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CAV1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Caveolin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1,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caveolae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protein, 22kDa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Q12778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FOXO1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Forkhead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box O1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[39]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Q12829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RAB40B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RAB40B, member RAS oncogene family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Q13153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PAK1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P21 protein (Cdc42/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Rac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>)-activated kinase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[40]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Q13283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G3BP1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GTPase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activating protein (SH3 domain) binding protein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[41]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Q13761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RUNX3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Runt-related transcription factor 3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[42-44]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Q14511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NEDD9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Neural precursor cell expressed, developmentally down-regulated 9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Q15063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POSTN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Periostin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>, osteoblast specific factor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[45]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Q15554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TERF2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Telomeric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repeat binding factor 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[37]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Q15672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TWIST1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Twist-related protein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[46]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Q16665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HIF1A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Hypoxia inducible factor 1, alpha subunit (basic helix-loop-helix transcription factor)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[39]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Q6VUC0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TFAP2E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Transcription factor AP-2 epsilon (activating enhancer binding protein 2 epsilon)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[47]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Q7L099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RUFY3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RUN and FYVE domain containing 3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Q8NF37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LPCAT1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Lysophosphatidylcholine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acyltransferase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[48]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Q92743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HTRA1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HtrA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serine peptidase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[49]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Q96EB6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SIRT1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NAD-dependent protein deacetylase sirtuin-1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[39]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Q99626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CDX2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Caudal type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homeobox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[50]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Q9GZV4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EIF5A2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Eukaryotic translation initiation factor 5A2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[51]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Q9HBM0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VEZT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Vezatin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adherens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junctions transmembrane protein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[52]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Q9NRD0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FBXO8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F-box protein 8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[53]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Q9NS71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GKN1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Gastrokine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[54, 55]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Q9NYB0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TERF2IP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Telomeric</w:t>
            </w:r>
            <w:proofErr w:type="spellEnd"/>
            <w:r w:rsidRPr="00CA372A">
              <w:rPr>
                <w:rFonts w:asciiTheme="majorBidi" w:hAnsiTheme="majorBidi" w:cstheme="majorBidi"/>
                <w:sz w:val="20"/>
                <w:szCs w:val="20"/>
              </w:rPr>
              <w:t xml:space="preserve"> repeat binding factor 2, interacting protein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[37]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Q9NZQ7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CD274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CD274 molecule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[22]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Q9UII2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ATPIF1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ATPase inhibitory factor 1</w:t>
            </w:r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[56]</w:t>
            </w:r>
          </w:p>
        </w:tc>
      </w:tr>
      <w:tr w:rsidR="00F51D30" w:rsidRPr="00CA372A" w:rsidTr="00CE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Q9Y251</w:t>
            </w:r>
          </w:p>
        </w:tc>
        <w:tc>
          <w:tcPr>
            <w:tcW w:w="144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HPSE</w:t>
            </w:r>
          </w:p>
        </w:tc>
        <w:tc>
          <w:tcPr>
            <w:tcW w:w="4680" w:type="dxa"/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72A">
              <w:rPr>
                <w:rFonts w:asciiTheme="majorBidi" w:hAnsiTheme="majorBidi" w:cstheme="majorBidi"/>
                <w:sz w:val="20"/>
                <w:szCs w:val="20"/>
              </w:rPr>
              <w:t>Heparanase</w:t>
            </w:r>
            <w:proofErr w:type="spellEnd"/>
          </w:p>
        </w:tc>
        <w:tc>
          <w:tcPr>
            <w:tcW w:w="1179" w:type="dxa"/>
          </w:tcPr>
          <w:p w:rsidR="00F51D30" w:rsidRPr="00CA372A" w:rsidRDefault="00F51D30" w:rsidP="00CA37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[14]</w:t>
            </w:r>
          </w:p>
        </w:tc>
      </w:tr>
      <w:tr w:rsidR="00F51D30" w:rsidRPr="00CA372A" w:rsidTr="00CE10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bottom w:val="single" w:sz="18" w:space="0" w:color="auto"/>
            </w:tcBorders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Q9Y6X2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PIAS3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noWrap/>
            <w:hideMark/>
          </w:tcPr>
          <w:p w:rsidR="00F51D30" w:rsidRPr="00CA372A" w:rsidRDefault="00F51D30" w:rsidP="003139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sz w:val="20"/>
                <w:szCs w:val="20"/>
              </w:rPr>
              <w:t>Protein inhibitor of activated STAT, 3</w:t>
            </w:r>
          </w:p>
        </w:tc>
        <w:tc>
          <w:tcPr>
            <w:tcW w:w="1179" w:type="dxa"/>
            <w:tcBorders>
              <w:bottom w:val="single" w:sz="18" w:space="0" w:color="auto"/>
            </w:tcBorders>
          </w:tcPr>
          <w:p w:rsidR="00F51D30" w:rsidRPr="00CA372A" w:rsidRDefault="00F51D30" w:rsidP="00CA37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372A">
              <w:rPr>
                <w:rFonts w:asciiTheme="majorBidi" w:hAnsiTheme="majorBidi" w:cstheme="majorBidi"/>
                <w:noProof/>
                <w:sz w:val="20"/>
                <w:szCs w:val="20"/>
              </w:rPr>
              <w:t>[57]</w:t>
            </w:r>
          </w:p>
        </w:tc>
      </w:tr>
    </w:tbl>
    <w:p w:rsidR="00F51D30" w:rsidRPr="003139EB" w:rsidRDefault="00F51D30" w:rsidP="003139EB">
      <w:pPr>
        <w:pStyle w:val="Normal1"/>
        <w:bidi w:val="0"/>
        <w:spacing w:before="240"/>
        <w:jc w:val="both"/>
        <w:rPr>
          <w:rFonts w:asciiTheme="majorHAnsi" w:hAnsiTheme="majorHAnsi"/>
        </w:rPr>
      </w:pPr>
    </w:p>
    <w:p w:rsidR="00F51D30" w:rsidRPr="003139EB" w:rsidRDefault="00F51D30" w:rsidP="003139EB">
      <w:pPr>
        <w:pStyle w:val="Normal1"/>
        <w:bidi w:val="0"/>
        <w:jc w:val="both"/>
        <w:rPr>
          <w:rFonts w:asciiTheme="majorHAnsi" w:hAnsiTheme="majorHAnsi"/>
        </w:rPr>
      </w:pPr>
    </w:p>
    <w:p w:rsidR="00F51D30" w:rsidRPr="00F51D30" w:rsidRDefault="00F51D30" w:rsidP="00CA372A">
      <w:pPr>
        <w:pStyle w:val="Normal1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F51D30">
        <w:rPr>
          <w:rFonts w:asciiTheme="majorBidi" w:hAnsiTheme="majorBidi" w:cstheme="majorBidi"/>
          <w:b/>
          <w:bCs/>
          <w:sz w:val="24"/>
          <w:szCs w:val="24"/>
        </w:rPr>
        <w:t>Reference</w:t>
      </w:r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" w:name="_ENREF_1"/>
      <w:r w:rsidRPr="00F51D30">
        <w:rPr>
          <w:sz w:val="22"/>
          <w:szCs w:val="22"/>
        </w:rPr>
        <w:t>[1] S. Chang, L. Gao, Y. Yang, D. Tong, B. Guo, L. Liu, Z. Li, T. Song, C. Huang, miR-145 mediates the antiproliferative and gene regulatory effects of vitamin D3 by directly targeting E2F3 in gastric cancer cells, Oncotarget, 6 (2015) 7675-7685.</w:t>
      </w:r>
      <w:bookmarkEnd w:id="2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" w:name="_ENREF_2"/>
      <w:r w:rsidRPr="00F51D30">
        <w:rPr>
          <w:sz w:val="22"/>
          <w:szCs w:val="22"/>
        </w:rPr>
        <w:t>[2] Y. Zhang, T. Han, G. Wei, Y. Wang, Inhibition of microRNA-17/20a suppresses cell proliferation in gastric cancer by modulating UBE2C expression, Oncology reports, 33 (2015) 2529-2536.</w:t>
      </w:r>
      <w:bookmarkEnd w:id="3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" w:name="_ENREF_3"/>
      <w:r w:rsidRPr="00F51D30">
        <w:rPr>
          <w:sz w:val="22"/>
          <w:szCs w:val="22"/>
        </w:rPr>
        <w:t>[3] J. Xu, W. Wang, Z. Zhu, Z. Wei, D. Yang, Q. Cai, Tumor Protein D52-Like 2 Accelerates Gastric Cancer Cell Proliferation In Vitro, Cancer Biotherapy and Radiopharmaceuticals, 30 (2015) 111-116.</w:t>
      </w:r>
      <w:bookmarkEnd w:id="4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" w:name="_ENREF_4"/>
      <w:r w:rsidRPr="00F51D30">
        <w:rPr>
          <w:sz w:val="22"/>
          <w:szCs w:val="22"/>
        </w:rPr>
        <w:t>[4] H. Chen, R. Guan, Y. Lei, J. Chen, Q. Ge, X. Zhang, R. Dou, H. Chen, H. Liu, X. Qi, Lymphangiogenesis in Gastric Cancer regulated through Akt/mTOR-VEGF-C/VEGF-D axis, BMC cancer, 15 (2015) 103.</w:t>
      </w:r>
      <w:bookmarkEnd w:id="5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6" w:name="_ENREF_5"/>
      <w:r w:rsidRPr="00F51D30">
        <w:rPr>
          <w:sz w:val="22"/>
          <w:szCs w:val="22"/>
        </w:rPr>
        <w:t>[5] W. Lu, H. Wei, M. Li, H. Wang, L. Liu, Q. Zhang, L. Liu, S. Lu, Identification of KRAS and PIK3CA but not BRAF mutations in patients with gastric cancer, Molecular medicine reports, 12 (2015) 1219-1224.</w:t>
      </w:r>
      <w:bookmarkEnd w:id="6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7" w:name="_ENREF_6"/>
      <w:r w:rsidRPr="00F51D30">
        <w:rPr>
          <w:sz w:val="22"/>
          <w:szCs w:val="22"/>
        </w:rPr>
        <w:t>[6] J. Rüschoff, W. Hanna, M. Bilous, M. Hofmann, R.Y. Osamura, F. Penault-Llorca, M. van de Vijver, G. Viale, HER2 testing in gastric cancer: a practical approach, Modern Pathology, 25 (2012) 637-650.</w:t>
      </w:r>
      <w:bookmarkEnd w:id="7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8" w:name="_ENREF_7"/>
      <w:r w:rsidRPr="00F51D30">
        <w:rPr>
          <w:sz w:val="22"/>
          <w:szCs w:val="22"/>
        </w:rPr>
        <w:t>[7] S.Q. Zhang, K.K. Sun, X.Y. Wu, N. Zhong, H. Zhao, D.C. Li, Clinicopathological significance of cytoplasmic transducer of ErbB2. 1 expression in gastric cancer, Molecular medicine reports, 12 (2015) 1177-1182.</w:t>
      </w:r>
      <w:bookmarkEnd w:id="8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9" w:name="_ENREF_8"/>
      <w:r w:rsidRPr="00F51D30">
        <w:rPr>
          <w:sz w:val="22"/>
          <w:szCs w:val="22"/>
        </w:rPr>
        <w:t>[8] K. Hara, H. Fukui, C. Sun, Y. Kitayama, H. Eda, T. Yamasaki, T. Kondo, T. Tomita, T. Oshima, J. Watari, Effect of REG Iα protein on angiogenesis in gastric cancer tissues, Oncology reports, 33 (2015) 2183-2189.</w:t>
      </w:r>
      <w:bookmarkEnd w:id="9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0" w:name="_ENREF_9"/>
      <w:r w:rsidRPr="00F51D30">
        <w:rPr>
          <w:sz w:val="22"/>
          <w:szCs w:val="22"/>
        </w:rPr>
        <w:t>[9] Y.-J. Cheng, Z.-X. Zhu, J.-S. Zhou, Z.-Q. Hu, J.-P. Zhang, Q.-P. Cai, L.-H. Wang, Silencing profilin-1 inhibits gastric cancer progression via integrin β1/focal adhesion kinase pathway modulation, World journal of gastroenterology: WJG, 21 (2015) 2323.</w:t>
      </w:r>
      <w:bookmarkEnd w:id="10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1" w:name="_ENREF_10"/>
      <w:r w:rsidRPr="00F51D30">
        <w:rPr>
          <w:sz w:val="22"/>
          <w:szCs w:val="22"/>
        </w:rPr>
        <w:t>[10] M. Calik, E. Demirci, E. Altun, I. Calik, Clinicopathological importance of Ki-67, p27, and p53 expression in gastric cancer, Turkish journal of medical sciences, 45 (2015) 118-128.</w:t>
      </w:r>
      <w:bookmarkEnd w:id="11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2" w:name="_ENREF_11"/>
      <w:r w:rsidRPr="00F51D30">
        <w:rPr>
          <w:sz w:val="22"/>
          <w:szCs w:val="22"/>
        </w:rPr>
        <w:t>[11] P.A. Muller, K.H. Vousden, Mutant p53 in cancer: new functions and therapeutic opportunities, Cancer cell, 25 (2014) 304-317.</w:t>
      </w:r>
      <w:bookmarkEnd w:id="12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3" w:name="_ENREF_12"/>
      <w:r w:rsidRPr="00F51D30">
        <w:rPr>
          <w:sz w:val="22"/>
          <w:szCs w:val="22"/>
        </w:rPr>
        <w:t>[12] P. Song, Q. Yin, M. Lu, B. Fu, B. Wang, Q. Zhao, Prognostic value of excision repair cross-complementation group 1 expression in gastric cancer: A meta-analysis, Experimental and therapeutic medicine, 9 (2015) 1393-1400.</w:t>
      </w:r>
      <w:bookmarkEnd w:id="13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4" w:name="_ENREF_13"/>
      <w:r w:rsidRPr="00F51D30">
        <w:rPr>
          <w:sz w:val="22"/>
          <w:szCs w:val="22"/>
        </w:rPr>
        <w:t>[13] Y. Gong, J. Ren, K. Liu, L.-M. Tang, Tumor suppressor role of miR-133a in gastric cancer by repressing IGF1R, World journal of gastroenterology: WJG, 21 (2015) 2949.</w:t>
      </w:r>
      <w:bookmarkEnd w:id="14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5" w:name="_ENREF_14"/>
      <w:r w:rsidRPr="00F51D30">
        <w:rPr>
          <w:sz w:val="22"/>
          <w:szCs w:val="22"/>
        </w:rPr>
        <w:lastRenderedPageBreak/>
        <w:t>[14] N.-B. Hao, B. Tang, G.-Z. Wang, R. Xie, C.-J. Hu, S.-M. Wang, Y.-Y. Wu, E. Liu, X. Xie, S.-M. Yang, Hepatocyte growth factor (HGF) upregulates heparanase expression via the PI3K/Akt/NF-κB signaling pathway for gastric cancer metastasis, Cancer letters, 361 (2015) 57-66.</w:t>
      </w:r>
      <w:bookmarkEnd w:id="15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6" w:name="_ENREF_15"/>
      <w:r w:rsidRPr="00F51D30">
        <w:rPr>
          <w:sz w:val="22"/>
          <w:szCs w:val="22"/>
        </w:rPr>
        <w:t>[15] H.W. Chung, S. Jang, H. Kim, J.B. Lim, Combined targeting of high</w:t>
      </w:r>
      <w:r w:rsidRPr="00F51D30">
        <w:rPr>
          <w:rFonts w:ascii="Cambria Math" w:hAnsi="Cambria Math" w:cs="Cambria Math"/>
          <w:sz w:val="22"/>
          <w:szCs w:val="22"/>
        </w:rPr>
        <w:t>‐</w:t>
      </w:r>
      <w:r w:rsidRPr="00F51D30">
        <w:rPr>
          <w:sz w:val="22"/>
          <w:szCs w:val="22"/>
        </w:rPr>
        <w:t>mobility group box</w:t>
      </w:r>
      <w:r w:rsidRPr="00F51D30">
        <w:rPr>
          <w:rFonts w:ascii="Cambria Math" w:hAnsi="Cambria Math" w:cs="Cambria Math"/>
          <w:sz w:val="22"/>
          <w:szCs w:val="22"/>
        </w:rPr>
        <w:t>‐</w:t>
      </w:r>
      <w:r w:rsidRPr="00F51D30">
        <w:rPr>
          <w:sz w:val="22"/>
          <w:szCs w:val="22"/>
        </w:rPr>
        <w:t>1 and interleukin</w:t>
      </w:r>
      <w:r w:rsidRPr="00F51D30">
        <w:rPr>
          <w:rFonts w:ascii="Cambria Math" w:hAnsi="Cambria Math" w:cs="Cambria Math"/>
          <w:sz w:val="22"/>
          <w:szCs w:val="22"/>
        </w:rPr>
        <w:t>‐</w:t>
      </w:r>
      <w:r w:rsidRPr="00F51D30">
        <w:rPr>
          <w:sz w:val="22"/>
          <w:szCs w:val="22"/>
        </w:rPr>
        <w:t>8 to control micrometastasis potential in gastric cancer, International Journal of Cancer, (2015).</w:t>
      </w:r>
      <w:bookmarkEnd w:id="16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7" w:name="_ENREF_16"/>
      <w:r w:rsidRPr="00F51D30">
        <w:rPr>
          <w:sz w:val="22"/>
          <w:szCs w:val="22"/>
        </w:rPr>
        <w:t>[16] S.-B. Wu, L.-N. Cai, X.-H. Yang, H.-G. Fu, K. Sun, F. Yuan, T.-L. Dong, Impact of CYP2D6 Polymorphisms on Postoperative Fentanyl Analgesia in Gastric Cancer Patients, Genetic testing and molecular biomarkers, 19 (2015) 248-252.</w:t>
      </w:r>
      <w:bookmarkEnd w:id="17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8" w:name="_ENREF_17"/>
      <w:r w:rsidRPr="00F51D30">
        <w:rPr>
          <w:sz w:val="22"/>
          <w:szCs w:val="22"/>
        </w:rPr>
        <w:t>[17] H. Akter, M. Park, O.-S. Kwon, E.J. Song, W.-S. Park, M.-J. Kang, Activation of matrix metalloproteinase-9 (MMP-9) by neurotensin promotes cell invasion and migration through ERK pathway in gastric cancer, Tumor Biology, (2015) 1-10.</w:t>
      </w:r>
      <w:bookmarkEnd w:id="18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19" w:name="_ENREF_18"/>
      <w:r w:rsidRPr="00F51D30">
        <w:rPr>
          <w:sz w:val="22"/>
          <w:szCs w:val="22"/>
        </w:rPr>
        <w:t>[18] J. Chen, X. Liu, H. Jiao, L. Peng, Z. Huo, W. Yang, Q. Shen, T. Li, Q. Liu, Prognostic and clinical significance of STAT3 and MMP9 in patients with gastric cancer: a meta-analysis of a Chinese cohort, International journal of clinical and experimental medicine, 8 (2015) 546.</w:t>
      </w:r>
      <w:bookmarkEnd w:id="19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0" w:name="_ENREF_19"/>
      <w:r w:rsidRPr="00F51D30">
        <w:rPr>
          <w:sz w:val="22"/>
          <w:szCs w:val="22"/>
        </w:rPr>
        <w:t>[19] J.-W. Xie, P.-C. Chen, C.-H. Zheng, P. Li, J.-B. Wang, J.-X. Lin, J. Lu, Q.-Y. Chen, L.-L. Cao, M. Lin, Evaluation of the prognostic value and functional roles of CD44v6 in gastric cancer, Journal of cancer research and clinical oncology, (2015) 1-9.</w:t>
      </w:r>
      <w:bookmarkEnd w:id="20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1" w:name="_ENREF_20"/>
      <w:r w:rsidRPr="00F51D30">
        <w:rPr>
          <w:sz w:val="22"/>
          <w:szCs w:val="22"/>
        </w:rPr>
        <w:t>[20] Y.-W. Wang, X. Chen, J.-W. Gao, H. Zhang, R.-R. Ma, Z.-H. Gao, P. Gao, High expression of cAMP-responsive element-binding protein 1 (CREB1) is associated with metastasis, tumor stage and poor outcome in gastric cancer, Oncotarget, (2015).</w:t>
      </w:r>
      <w:bookmarkEnd w:id="21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2" w:name="_ENREF_21"/>
      <w:r w:rsidRPr="00F51D30">
        <w:rPr>
          <w:sz w:val="22"/>
          <w:szCs w:val="22"/>
        </w:rPr>
        <w:t>[21] Y. Murayama, K. Oritani, S. Tsutsui, Novel CD9-targeted therapies in gastric cancer, World journal of gastroenterology: WJG, 21 (2015) 3206.</w:t>
      </w:r>
      <w:bookmarkEnd w:id="22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3" w:name="_ENREF_22"/>
      <w:r w:rsidRPr="00F51D30">
        <w:rPr>
          <w:sz w:val="22"/>
          <w:szCs w:val="22"/>
        </w:rPr>
        <w:t>[22] Y. Qing, Q. Li, T. Ren, W. Xia, Y. Peng, G.-L. Liu, H. Luo, Y.-X. Yang, X.-Y. Dai, S.-F. Zhou, Upregulation of PD-L1 and APE1 is associated with tumorigenesis and poor prognosis of gastric cancer, Drug design, development and therapy, 9 (2015) 901.</w:t>
      </w:r>
      <w:bookmarkEnd w:id="23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4" w:name="_ENREF_23"/>
      <w:r w:rsidRPr="00F51D30">
        <w:rPr>
          <w:sz w:val="22"/>
          <w:szCs w:val="22"/>
        </w:rPr>
        <w:t>[23] M.K. Joo, J.J. Park, S.H. Kim, H.S. Yoo, B.J. Lee, H.J. Chun, S.W. Lee, Y.T. Bak, Antitumorigenic effect of plumbagin by induction of SH2</w:t>
      </w:r>
      <w:r w:rsidRPr="00F51D30">
        <w:rPr>
          <w:rFonts w:ascii="Cambria Math" w:hAnsi="Cambria Math" w:cs="Cambria Math"/>
          <w:sz w:val="22"/>
          <w:szCs w:val="22"/>
        </w:rPr>
        <w:t>‑</w:t>
      </w:r>
      <w:r w:rsidRPr="00F51D30">
        <w:rPr>
          <w:sz w:val="22"/>
          <w:szCs w:val="22"/>
        </w:rPr>
        <w:t>containing protein tyrosine phosphatase 1 in human gastric cancer cells, International journal of oncology, 46 (2015) 2380-2388.</w:t>
      </w:r>
      <w:bookmarkEnd w:id="24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5" w:name="_ENREF_24"/>
      <w:r w:rsidRPr="00F51D30">
        <w:rPr>
          <w:sz w:val="22"/>
          <w:szCs w:val="22"/>
        </w:rPr>
        <w:t>[24] L.P. Nacusi, R.J. Sheaff, Akt1 sequentially phosphorylates p27kip1 within a conserved but non-canonical region, Cell division, 1 (2006) 11.</w:t>
      </w:r>
      <w:bookmarkEnd w:id="25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6" w:name="_ENREF_25"/>
      <w:r w:rsidRPr="00F51D30">
        <w:rPr>
          <w:sz w:val="22"/>
          <w:szCs w:val="22"/>
        </w:rPr>
        <w:t>[25] W. Zhou, X. Fu, L. Zhang, J. Zhang, X. Huang, X. Lu, L. Shen, B. Liu, J. Liu, H. Luo, The AKT1/NF-kappaB/Notch1/PTEN axis has an important role in chemoresistance of gastric cancer cells, Cell death &amp; disease, 4 (2013) e847.</w:t>
      </w:r>
      <w:bookmarkEnd w:id="26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7" w:name="_ENREF_26"/>
      <w:r w:rsidRPr="00F51D30">
        <w:rPr>
          <w:sz w:val="22"/>
          <w:szCs w:val="22"/>
        </w:rPr>
        <w:t>[26] Q.-Y. Zhang, W.-X. Cheng, W.-M. Li, W. Au, Y.-Y. Lu, Occurrence of low frequency PIK3CA and AKT2 mutations in gastric cancer, Mutation Research/Fundamental and Molecular Mechanisms of Mutagenesis, 769 (2014) 108-112.</w:t>
      </w:r>
      <w:bookmarkEnd w:id="27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8" w:name="_ENREF_27"/>
      <w:r w:rsidRPr="00F51D30">
        <w:rPr>
          <w:sz w:val="22"/>
          <w:szCs w:val="22"/>
        </w:rPr>
        <w:t>[27] B.A. Frycz, D. Murawa, M. Borejsza-Wysocki, R. Marciniak, P. Murawa, M. Drews, P.P. Jagodziński, Expression of 17β-hydroxysteroid dehydrogenase type 2 is associated with some clinicopathological features in gastric cancer, Biomedicine &amp; Pharmacotherapy, 70 (2015) 24-27.</w:t>
      </w:r>
      <w:bookmarkEnd w:id="28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29" w:name="_ENREF_28"/>
      <w:r w:rsidRPr="00F51D30">
        <w:rPr>
          <w:sz w:val="22"/>
          <w:szCs w:val="22"/>
        </w:rPr>
        <w:t>[28] N. Yabusaki, S. Yamada, T. Murai, M. Kanda, D. Kobayashi, C. Tanaka, T. Fujii, G. Nakayama, H. Sugimoto, M. Koike, Clinical significance of zinc-finger E-box binding homeobox 1 mRNA levels in peritoneal washing for gastric cancer, Molecular and clinical oncology, 3 (2015) 435-441.</w:t>
      </w:r>
      <w:bookmarkEnd w:id="29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0" w:name="_ENREF_29"/>
      <w:r w:rsidRPr="00F51D30">
        <w:rPr>
          <w:sz w:val="22"/>
          <w:szCs w:val="22"/>
        </w:rPr>
        <w:t>[29] Y. Okugawa, Y. Toiyama, K. Tanaka, K. Matsusita, H. Fujikawa, S. Saigusa, M. Ohi, Y. Inoue, Y. Mohri, K. Uchida, Clinical significance of zinc finger E</w:t>
      </w:r>
      <w:r w:rsidRPr="00F51D30">
        <w:rPr>
          <w:rFonts w:ascii="Cambria Math" w:hAnsi="Cambria Math" w:cs="Cambria Math"/>
          <w:sz w:val="22"/>
          <w:szCs w:val="22"/>
        </w:rPr>
        <w:t>‐</w:t>
      </w:r>
      <w:r w:rsidRPr="00F51D30">
        <w:rPr>
          <w:sz w:val="22"/>
          <w:szCs w:val="22"/>
        </w:rPr>
        <w:t>box binding homeobox 1 (ZEB1) in human gastric cancer, Journal of surgical oncology, 106 (2012) 280-285.</w:t>
      </w:r>
      <w:bookmarkEnd w:id="30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1" w:name="_ENREF_30"/>
      <w:r w:rsidRPr="00F51D30">
        <w:rPr>
          <w:sz w:val="22"/>
          <w:szCs w:val="22"/>
        </w:rPr>
        <w:t>[30] X.-J. Shen, H. Zhang, G.-S. Tang, X.-D. Wang, R. Zheng, Y. Wang, Y. Zhu, X.-C. Xue, J.-W. Bi, Caveolin-1 is a Modulator of Fibroblast Activation and a Potential Biomarker for Gastric Cancer, International journal of biological sciences, 11 (2015) 370.</w:t>
      </w:r>
      <w:bookmarkEnd w:id="31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2" w:name="_ENREF_31"/>
      <w:r w:rsidRPr="00F51D30">
        <w:rPr>
          <w:sz w:val="22"/>
          <w:szCs w:val="22"/>
        </w:rPr>
        <w:lastRenderedPageBreak/>
        <w:t>[31] J.H. Park, M.-H. Ryu, Y.S. Park, S.R. Park, Y.-S. Na, B.-Y. Rhoo, Y.-K. Kang, Successful control of heavily pretreated metastatic gastric cancer with the mTOR inhibitor everolimus (RAD001) in a patient with PIK3CA mutation and pS6 overexpression, BMC cancer, 15 (2015) 119.</w:t>
      </w:r>
      <w:bookmarkEnd w:id="32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3" w:name="_ENREF_32"/>
      <w:r w:rsidRPr="00F51D30">
        <w:rPr>
          <w:sz w:val="22"/>
          <w:szCs w:val="22"/>
        </w:rPr>
        <w:t>[32] Q. Hang, R. Sun, C. Jiang, Y. Li, Notch 1 promotes cisplatin-resistant gastric cancer formation by upregulating lncRNA AK022798 expression, Anti-cancer drugs, 26 (2015) 632-640.</w:t>
      </w:r>
      <w:bookmarkEnd w:id="33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4" w:name="_ENREF_33"/>
      <w:r w:rsidRPr="00F51D30">
        <w:rPr>
          <w:sz w:val="22"/>
          <w:szCs w:val="22"/>
        </w:rPr>
        <w:t>[33] S. Kim, H. Lee, J. Baek, Y. Cho, H. Kang, J. Jeong, J. Song, H. Park, K. Chun, Activation of nuclear PTEN by inhibition of Notch signaling induces G2/M cell cycle arrest in gastric cancer, Oncogene, (2015).</w:t>
      </w:r>
      <w:bookmarkEnd w:id="34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5" w:name="_ENREF_34"/>
      <w:r w:rsidRPr="00F51D30">
        <w:rPr>
          <w:sz w:val="22"/>
          <w:szCs w:val="22"/>
        </w:rPr>
        <w:t>[34] Y. Dong, G. Chen, M. Gao, X. Tian, Increased expression of MMP14 correlates with the poor prognosis of Chinese patients with gastric cancer, Gene, 563 (2015) 29-34.</w:t>
      </w:r>
      <w:bookmarkEnd w:id="35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6" w:name="_ENREF_35"/>
      <w:r w:rsidRPr="00F51D30">
        <w:rPr>
          <w:sz w:val="22"/>
          <w:szCs w:val="22"/>
        </w:rPr>
        <w:t>[35] T. Ushiku, S. Ishikawa, M. Kakiuchi, A. Tanaka, H. Katoh, H. Aburatani, G.Y. Lauwers, M. Fukayama, RHOA mutation in diffuse-type gastric cancer: a comparative clinicopathology analysis of 87 cases, Gastric Cancer, (2015) 1-9.</w:t>
      </w:r>
      <w:bookmarkEnd w:id="36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7" w:name="_ENREF_36"/>
      <w:r w:rsidRPr="00F51D30">
        <w:rPr>
          <w:sz w:val="22"/>
          <w:szCs w:val="22"/>
        </w:rPr>
        <w:t>[36] D. Aydin, A. Bilici, D. Yavuzer, U. Kefeli, A. Tan, O. Ercelep, A. Mert, S. Yuksel, M. Ozcelik, D. Isik, Prognostic significance of ADAM17 expression in patients with gastric cancer who underwent curative gastrectomy, Clinical and Translational Oncology, (2015) 1-8.</w:t>
      </w:r>
      <w:bookmarkEnd w:id="37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8" w:name="_ENREF_37"/>
      <w:r w:rsidRPr="00F51D30">
        <w:rPr>
          <w:sz w:val="22"/>
          <w:szCs w:val="22"/>
        </w:rPr>
        <w:t>[37] X. Li, W. Liu, H. Wang, L. Yang, Y. Li, H. Wen, H. Ning, J. Wang, L. Zhang, J. Li, Rap1 is indispensable for TRF2 function in etoposide-induced DNA damage response in gastric cancer cell line, Oncogenesis, 4 (2015) e144.</w:t>
      </w:r>
      <w:bookmarkEnd w:id="38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39" w:name="_ENREF_38"/>
      <w:r w:rsidRPr="00F51D30">
        <w:rPr>
          <w:sz w:val="22"/>
          <w:szCs w:val="22"/>
        </w:rPr>
        <w:t>[38] K.A. Manu, M.K. Shanmugam, L. Ramachandran, F. Li, K.S. Siveen, A. Chinnathambi, M. Zayed, S.A. Alharbi, F. Arfuso, A.P. Kumar, Isorhamnetin augments the anti-tumor effect of capeciatbine through the negative regulation of NF-κB signaling cascade in gastric cancer, Cancer letters, 363 (2015) 28-36.</w:t>
      </w:r>
      <w:bookmarkEnd w:id="39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0" w:name="_ENREF_39"/>
      <w:r w:rsidRPr="00F51D30">
        <w:rPr>
          <w:sz w:val="22"/>
          <w:szCs w:val="22"/>
        </w:rPr>
        <w:t>[39] S.Y. Kim, Y.S. Ko, J. Park, Y. Choi, J.-W. Park, Y. Kim, J.-S. Pyo, Y.B. Yoo, J.-S. Lee, B.L. Lee, Forkhead Transcription Factor FOXO1 Inhibits Angiogenesis in Gastric Cancer in Relation to SIRT1, Cancer Research and Treatment, (2015).</w:t>
      </w:r>
      <w:bookmarkEnd w:id="40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1" w:name="_ENREF_40"/>
      <w:r w:rsidRPr="00F51D30">
        <w:rPr>
          <w:sz w:val="22"/>
          <w:szCs w:val="22"/>
        </w:rPr>
        <w:t>[40] G. Wang, Q. Zhang, Y. Song, X. Wang, Q. Guo, J. Zhang, J. Li, Y. Han, Z. Miao, F. Li, PAK1 regulates RUFY3-mediated gastric cancer cell migration and invasion, Cell death &amp; disease, 6 (2015) e1682.</w:t>
      </w:r>
      <w:bookmarkEnd w:id="41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2" w:name="_ENREF_41"/>
      <w:r w:rsidRPr="00F51D30">
        <w:rPr>
          <w:sz w:val="22"/>
          <w:szCs w:val="22"/>
        </w:rPr>
        <w:t>[41] L. Min, Y. Ruan, Z. Shen, D. Jia, X. Wang, J. Zhao, Y. Sun, J. Gu, Overexpression of Ras</w:t>
      </w:r>
      <w:r w:rsidRPr="00F51D30">
        <w:rPr>
          <w:rFonts w:ascii="Cambria Math" w:hAnsi="Cambria Math" w:cs="Cambria Math"/>
          <w:sz w:val="22"/>
          <w:szCs w:val="22"/>
        </w:rPr>
        <w:t>‐</w:t>
      </w:r>
      <w:r w:rsidRPr="00F51D30">
        <w:rPr>
          <w:sz w:val="22"/>
          <w:szCs w:val="22"/>
        </w:rPr>
        <w:t>GTPase</w:t>
      </w:r>
      <w:r w:rsidRPr="00F51D30">
        <w:rPr>
          <w:rFonts w:ascii="Cambria Math" w:hAnsi="Cambria Math" w:cs="Cambria Math"/>
          <w:sz w:val="22"/>
          <w:szCs w:val="22"/>
        </w:rPr>
        <w:t>‐</w:t>
      </w:r>
      <w:r w:rsidRPr="00F51D30">
        <w:rPr>
          <w:sz w:val="22"/>
          <w:szCs w:val="22"/>
        </w:rPr>
        <w:t>activating protein SH3 domain</w:t>
      </w:r>
      <w:r w:rsidRPr="00F51D30">
        <w:rPr>
          <w:rFonts w:ascii="Cambria Math" w:hAnsi="Cambria Math" w:cs="Cambria Math"/>
          <w:sz w:val="22"/>
          <w:szCs w:val="22"/>
        </w:rPr>
        <w:t>‐</w:t>
      </w:r>
      <w:r w:rsidRPr="00F51D30">
        <w:rPr>
          <w:sz w:val="22"/>
          <w:szCs w:val="22"/>
        </w:rPr>
        <w:t>binding protein 1 correlates with poor prognosis in gastric cancer patients, Histopathology, (2015).</w:t>
      </w:r>
      <w:bookmarkEnd w:id="42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3" w:name="_ENREF_42"/>
      <w:r w:rsidRPr="00F51D30">
        <w:rPr>
          <w:sz w:val="22"/>
          <w:szCs w:val="22"/>
        </w:rPr>
        <w:t>[42] Z. Liu, X. Zhang, X. Xu, L. Chen, W. Li, H. Yu, Y. Sun, J. Zeng, J. Jia, RUNX3 inhibits survivin expression and induces cell apoptosis in gastric cancer, European journal of cell biology, 93 (2014) 118-126.</w:t>
      </w:r>
      <w:bookmarkEnd w:id="43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4" w:name="_ENREF_43"/>
      <w:r w:rsidRPr="00F51D30">
        <w:rPr>
          <w:sz w:val="22"/>
          <w:szCs w:val="22"/>
        </w:rPr>
        <w:t>[43] G. Keller, H. Vogelsang, I. Becker, S. Plaschke, K. Ott, G. Suriano, A. Mateus, R. Seruca, K. Biedermann, D. Huntsman, Germline mutations of the E-cadherin (CDH1) and TP53 genes, rather than of RUNX3 and HPP1, contribute to genetic predisposition in German gastric cancer patients, Journal of medical genetics, 41 (2004) e89-e89.</w:t>
      </w:r>
      <w:bookmarkEnd w:id="44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5" w:name="_ENREF_44"/>
      <w:r w:rsidRPr="00F51D30">
        <w:rPr>
          <w:sz w:val="22"/>
          <w:szCs w:val="22"/>
        </w:rPr>
        <w:t>[44] H. Fukamachi, K. Ito, Growth regulation of gastric epithelial cells by Runx3, Oncogene, 23 (2004) 4330-4335.</w:t>
      </w:r>
      <w:bookmarkEnd w:id="45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6" w:name="_ENREF_45"/>
      <w:r w:rsidRPr="00F51D30">
        <w:rPr>
          <w:sz w:val="22"/>
          <w:szCs w:val="22"/>
        </w:rPr>
        <w:t>[45] G.-X. Liu, H.-Q. Xi, X.-Y. Sun, B. Wei, Role of periostin and its antagonist PNDA-3 in gastric cancer metastasis, World journal of gastroenterology: WJG, 21 (2015) 2605.</w:t>
      </w:r>
      <w:bookmarkEnd w:id="46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7" w:name="_ENREF_46"/>
      <w:r w:rsidRPr="00F51D30">
        <w:rPr>
          <w:sz w:val="22"/>
          <w:szCs w:val="22"/>
        </w:rPr>
        <w:t>[46] H. Zhang, J. Gong, D. Kong, H.-Y. Liu, Anti-proliferation effects of Twist gene silencing in gastric cancer SGC7901 cells, World journal of gastroenterology: WJG, 21 (2015) 2926.</w:t>
      </w:r>
      <w:bookmarkEnd w:id="47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8" w:name="_ENREF_47"/>
      <w:r w:rsidRPr="00F51D30">
        <w:rPr>
          <w:sz w:val="22"/>
          <w:szCs w:val="22"/>
        </w:rPr>
        <w:t>[47] J. Sun, N. Du, J. Li, J. Zhou, G. Tao, S. Sun, J. He, Transcription Factor AP2</w:t>
      </w:r>
      <w:r w:rsidRPr="00F51D30">
        <w:rPr>
          <w:rFonts w:ascii="Cambria Math" w:hAnsi="Cambria Math" w:cs="Cambria Math"/>
          <w:sz w:val="22"/>
          <w:szCs w:val="22"/>
        </w:rPr>
        <w:t>∊</w:t>
      </w:r>
      <w:r w:rsidRPr="00F51D30">
        <w:rPr>
          <w:sz w:val="22"/>
          <w:szCs w:val="22"/>
        </w:rPr>
        <w:t xml:space="preserve"> A Potential Predictor of Chemoresistance in Patients With Gastric Cancer, Technology in cancer research &amp; treatment, (2015) 1533034615577028.</w:t>
      </w:r>
      <w:bookmarkEnd w:id="48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49" w:name="_ENREF_48"/>
      <w:r w:rsidRPr="00F51D30">
        <w:rPr>
          <w:sz w:val="22"/>
          <w:szCs w:val="22"/>
        </w:rPr>
        <w:t>[48] T. Uehara, H. Kikuchi, S. Miyazaki, I. Iino, T. Setoguchi, Y. Hiramatsu, M. Ohta, K. Kamiya, Y. Morita, H. Tanaka, Overexpression of Lysophosphatidylcholine Acyltransferase 1 and Concomitant Lipid Alterations in Gastric Cancer, Annals of surgical oncology, (2015) 1-8.</w:t>
      </w:r>
      <w:bookmarkEnd w:id="49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0" w:name="_ENREF_49"/>
      <w:r w:rsidRPr="00F51D30">
        <w:rPr>
          <w:sz w:val="22"/>
          <w:szCs w:val="22"/>
        </w:rPr>
        <w:lastRenderedPageBreak/>
        <w:t>[49] Z. Zhao, H. Li, C. Wang, W. Xu, J. Sun, W. Zhao, Serine protease HtrA1 as an inhibitor on proliferation invasion and migration of gastric cancer, Medical Oncology, 32 (2015) 1-7.</w:t>
      </w:r>
      <w:bookmarkEnd w:id="50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1" w:name="_ENREF_50"/>
      <w:r w:rsidRPr="00F51D30">
        <w:rPr>
          <w:sz w:val="22"/>
          <w:szCs w:val="22"/>
        </w:rPr>
        <w:t>[50] W. Wei, L. Li, X. Wang, L. Yan, W. Cao, Z. Zhan, X. Zhang, H. Yu, Y. Xie, Q. Xiao, Overexpression of caudal type homeobox transcription factor 2 inhibits the growth of the MGC</w:t>
      </w:r>
      <w:r w:rsidRPr="00F51D30">
        <w:rPr>
          <w:rFonts w:ascii="Cambria Math" w:hAnsi="Cambria Math" w:cs="Cambria Math"/>
          <w:sz w:val="22"/>
          <w:szCs w:val="22"/>
        </w:rPr>
        <w:t>‑</w:t>
      </w:r>
      <w:r w:rsidRPr="00F51D30">
        <w:rPr>
          <w:sz w:val="22"/>
          <w:szCs w:val="22"/>
        </w:rPr>
        <w:t>803 human gastric cancer cell line in vivo, Molecular medicine reports, 12 (2015) 905-912.</w:t>
      </w:r>
      <w:bookmarkEnd w:id="51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2" w:name="_ENREF_51"/>
      <w:r w:rsidRPr="00F51D30">
        <w:rPr>
          <w:sz w:val="22"/>
          <w:szCs w:val="22"/>
        </w:rPr>
        <w:t>[51] Q.-B. Meng, W.-M. Kang, J.-C. Yu, Y.-Q. Liu, Z.-Q. Ma, L. Zhou, Q.-C. Cui, W.-X. Zhou, Overexpression of Eukaryotic Translation Initiation Factor 5A2 (EIF5A2) Correlates with Cell Aggressiveness and Poor Survival in Gastric Cancer, PloS one, 10 (2015).</w:t>
      </w:r>
      <w:bookmarkEnd w:id="52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3" w:name="_ENREF_52"/>
      <w:r w:rsidRPr="00F51D30">
        <w:rPr>
          <w:sz w:val="22"/>
          <w:szCs w:val="22"/>
        </w:rPr>
        <w:t>[52] G.-J. Wang, G.-H. Liu, Y.-W. Ye, Y. Fu, X.-F. Zhang, The role of microRNA-1274a in the tumorigenesis of gastric cancer: Accelerating cancer cell proliferation and migration via directly targeting FOXO4, Biochemical and biophysical research communications, 459 (2015) 629-635.</w:t>
      </w:r>
      <w:bookmarkEnd w:id="53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4" w:name="_ENREF_53"/>
      <w:r w:rsidRPr="00F51D30">
        <w:rPr>
          <w:sz w:val="22"/>
          <w:szCs w:val="22"/>
        </w:rPr>
        <w:t>[53] P. Wu, F. Wang, Y. Wang, H. Men, X. Zhu, G. He, W. Ma, S. Xin, J. Wu, W. Liao, Significance of FBX8 in progression of gastric cancer, Experimental and molecular pathology, 98 (2015) 360-366.</w:t>
      </w:r>
      <w:bookmarkEnd w:id="54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5" w:name="_ENREF_54"/>
      <w:r w:rsidRPr="00F51D30">
        <w:rPr>
          <w:sz w:val="22"/>
          <w:szCs w:val="22"/>
        </w:rPr>
        <w:t>[54] R. Xing, W.-M. Li, J.-T. Cui, N. Xia, Y.-Y. Lu, GKN1 Inhibits Cell Invasion in Gastric Cancer by Inactivating the NF-kappaB Pathway, Discovery medicine, 19 (2015) 65-71.</w:t>
      </w:r>
      <w:bookmarkEnd w:id="55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6" w:name="_ENREF_55"/>
      <w:r w:rsidRPr="00F51D30">
        <w:rPr>
          <w:sz w:val="22"/>
          <w:szCs w:val="22"/>
        </w:rPr>
        <w:t>[55] B.J. Choi, J.H. Yoon, W.S. Choi, O. Kim, S.W. Nam, J.Y. Lee, W.S. Park, GKN1 and miR-185 are associated with CpG island methylator phenotype in gastric cancers, Molecular &amp; Cellular Toxicology, 9 (2013) 227-233.</w:t>
      </w:r>
      <w:bookmarkEnd w:id="56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7" w:name="_ENREF_56"/>
      <w:r w:rsidRPr="00F51D30">
        <w:rPr>
          <w:sz w:val="22"/>
          <w:szCs w:val="22"/>
        </w:rPr>
        <w:t>[56] T. Yin, L. Lu, Z. Xiong, S. Wei, D. Cui, ATPase inhibitory factor 1 is a prognostic marker and contributes to proliferation and invasion of human gastric cancer cells, Biomedicine &amp; Pharmacotherapy, 70 (2015) 90-96.</w:t>
      </w:r>
      <w:bookmarkEnd w:id="57"/>
    </w:p>
    <w:p w:rsidR="00F51D30" w:rsidRPr="00F51D30" w:rsidRDefault="00F51D30" w:rsidP="00F51D30">
      <w:pPr>
        <w:pStyle w:val="EndNoteBibliography"/>
        <w:bidi w:val="0"/>
        <w:jc w:val="left"/>
        <w:rPr>
          <w:sz w:val="22"/>
          <w:szCs w:val="22"/>
        </w:rPr>
      </w:pPr>
      <w:bookmarkStart w:id="58" w:name="_ENREF_57"/>
      <w:r w:rsidRPr="00F51D30">
        <w:rPr>
          <w:sz w:val="22"/>
          <w:szCs w:val="22"/>
        </w:rPr>
        <w:t>[57] J. Li, J. Cui, J. Zhang, Y. Liu, L. Han, C. Jia, J. Deng, H. Liang, PIAS3, an inhibitor of STAT3, has intensively negative association with the survival of gastric cancer, International journal of clinical and experimental medicine, 8 (2015) 682.</w:t>
      </w:r>
      <w:bookmarkEnd w:id="58"/>
    </w:p>
    <w:p w:rsidR="00F51D30" w:rsidRPr="00F51D30" w:rsidRDefault="00F51D30" w:rsidP="00F51D30">
      <w:pPr>
        <w:pStyle w:val="Normal1"/>
        <w:bidi w:val="0"/>
        <w:rPr>
          <w:rFonts w:asciiTheme="majorHAnsi" w:hAnsiTheme="majorHAnsi"/>
          <w:sz w:val="22"/>
          <w:szCs w:val="22"/>
        </w:rPr>
      </w:pPr>
    </w:p>
    <w:p w:rsidR="003F55A3" w:rsidRPr="00F51D30" w:rsidRDefault="003F55A3" w:rsidP="00F51D30">
      <w:pPr>
        <w:rPr>
          <w:sz w:val="22"/>
          <w:szCs w:val="22"/>
        </w:rPr>
      </w:pPr>
    </w:p>
    <w:sectPr w:rsidR="003F55A3" w:rsidRPr="00F51D30" w:rsidSect="00CE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7DCA"/>
    <w:multiLevelType w:val="hybridMultilevel"/>
    <w:tmpl w:val="B1360816"/>
    <w:lvl w:ilvl="0" w:tplc="B942D30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655"/>
    <w:multiLevelType w:val="hybridMultilevel"/>
    <w:tmpl w:val="0DB67BE2"/>
    <w:lvl w:ilvl="0" w:tplc="470AA3B6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3836"/>
    <w:multiLevelType w:val="hybridMultilevel"/>
    <w:tmpl w:val="8A1CD8EA"/>
    <w:lvl w:ilvl="0" w:tplc="DC460B08">
      <w:start w:val="1"/>
      <w:numFmt w:val="decimal"/>
      <w:lvlText w:val="%1-"/>
      <w:lvlJc w:val="left"/>
      <w:pPr>
        <w:ind w:left="720" w:hanging="360"/>
      </w:pPr>
      <w:rPr>
        <w:rFonts w:eastAsia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7B15"/>
    <w:multiLevelType w:val="hybridMultilevel"/>
    <w:tmpl w:val="73FC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822E2"/>
    <w:multiLevelType w:val="hybridMultilevel"/>
    <w:tmpl w:val="A052D15C"/>
    <w:lvl w:ilvl="0" w:tplc="EF8ED4C8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51D30"/>
    <w:rsid w:val="00390562"/>
    <w:rsid w:val="003F55A3"/>
    <w:rsid w:val="00F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5AEB8-7549-433A-8E78-DBC83E5E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30"/>
    <w:pPr>
      <w:bidi/>
      <w:spacing w:after="0" w:line="360" w:lineRule="auto"/>
    </w:pPr>
    <w:rPr>
      <w:rFonts w:ascii="2  Nazanin" w:eastAsia="2  Nazanin" w:hAnsi="2  Nazanin" w:cs="2  Nazanin"/>
      <w:color w:val="000000"/>
      <w:sz w:val="28"/>
      <w:szCs w:val="28"/>
    </w:rPr>
  </w:style>
  <w:style w:type="paragraph" w:styleId="Heading1">
    <w:name w:val="heading 1"/>
    <w:basedOn w:val="Normal1"/>
    <w:next w:val="Normal1"/>
    <w:link w:val="Heading1Char"/>
    <w:rsid w:val="00F51D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F51D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F51D30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link w:val="Heading4Char"/>
    <w:rsid w:val="00F51D3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51D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51D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  <w:rsid w:val="00F51D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1D30"/>
  </w:style>
  <w:style w:type="character" w:customStyle="1" w:styleId="Heading1Char">
    <w:name w:val="Heading 1 Char"/>
    <w:basedOn w:val="DefaultParagraphFont"/>
    <w:link w:val="Heading1"/>
    <w:rsid w:val="00F51D30"/>
    <w:rPr>
      <w:rFonts w:ascii="2  Nazanin" w:eastAsia="2  Nazanin" w:hAnsi="2  Nazanin" w:cs="2  Nazani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1D30"/>
    <w:rPr>
      <w:rFonts w:ascii="2  Nazanin" w:eastAsia="2  Nazanin" w:hAnsi="2  Nazanin" w:cs="2  Nazani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1D30"/>
    <w:rPr>
      <w:rFonts w:ascii="2  Nazanin" w:eastAsia="2  Nazanin" w:hAnsi="2  Nazanin" w:cs="2  Nazani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51D30"/>
    <w:rPr>
      <w:rFonts w:ascii="2  Nazanin" w:eastAsia="2  Nazanin" w:hAnsi="2  Nazanin" w:cs="2  Nazani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1D30"/>
    <w:rPr>
      <w:rFonts w:ascii="2  Nazanin" w:eastAsia="2  Nazanin" w:hAnsi="2  Nazanin" w:cs="2  Nazani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F51D30"/>
    <w:rPr>
      <w:rFonts w:ascii="2  Nazanin" w:eastAsia="2  Nazanin" w:hAnsi="2  Nazanin" w:cs="2  Nazanin"/>
      <w:b/>
      <w:color w:val="000000"/>
      <w:sz w:val="20"/>
      <w:szCs w:val="20"/>
    </w:rPr>
  </w:style>
  <w:style w:type="paragraph" w:customStyle="1" w:styleId="Normal1">
    <w:name w:val="Normal1"/>
    <w:link w:val="Normal1Char"/>
    <w:rsid w:val="00F51D30"/>
    <w:pPr>
      <w:bidi/>
      <w:spacing w:after="0" w:line="360" w:lineRule="auto"/>
    </w:pPr>
    <w:rPr>
      <w:rFonts w:ascii="2  Nazanin" w:eastAsia="2  Nazanin" w:hAnsi="2  Nazanin" w:cs="2  Nazanin"/>
      <w:color w:val="000000"/>
      <w:sz w:val="28"/>
      <w:szCs w:val="28"/>
    </w:rPr>
  </w:style>
  <w:style w:type="character" w:customStyle="1" w:styleId="Normal1Char">
    <w:name w:val="Normal1 Char"/>
    <w:basedOn w:val="DefaultParagraphFont"/>
    <w:link w:val="Normal1"/>
    <w:rsid w:val="00F51D30"/>
    <w:rPr>
      <w:rFonts w:ascii="2  Nazanin" w:eastAsia="2  Nazanin" w:hAnsi="2  Nazanin" w:cs="2  Nazanin"/>
      <w:color w:val="000000"/>
      <w:sz w:val="28"/>
      <w:szCs w:val="28"/>
    </w:rPr>
  </w:style>
  <w:style w:type="paragraph" w:styleId="Title">
    <w:name w:val="Title"/>
    <w:basedOn w:val="Normal1"/>
    <w:next w:val="Normal1"/>
    <w:link w:val="TitleChar"/>
    <w:rsid w:val="00F51D3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51D30"/>
    <w:rPr>
      <w:rFonts w:ascii="2  Nazanin" w:eastAsia="2  Nazanin" w:hAnsi="2  Nazanin" w:cs="2  Nazanin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51D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51D30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30"/>
    <w:rPr>
      <w:rFonts w:ascii="Tahoma" w:eastAsia="2  Nazani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D3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51D3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Normal1Char"/>
    <w:link w:val="EndNoteBibliographyTitle"/>
    <w:rsid w:val="00F51D30"/>
    <w:rPr>
      <w:rFonts w:ascii="2  Nazanin" w:eastAsia="2  Nazanin" w:hAnsi="2  Nazanin" w:cs="2  Nazanin"/>
      <w:noProof/>
      <w:color w:val="000000"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F51D30"/>
    <w:pPr>
      <w:spacing w:line="240" w:lineRule="auto"/>
      <w:jc w:val="right"/>
    </w:pPr>
    <w:rPr>
      <w:noProof/>
    </w:rPr>
  </w:style>
  <w:style w:type="character" w:customStyle="1" w:styleId="EndNoteBibliographyChar">
    <w:name w:val="EndNote Bibliography Char"/>
    <w:basedOn w:val="Normal1Char"/>
    <w:link w:val="EndNoteBibliography"/>
    <w:rsid w:val="00F51D30"/>
    <w:rPr>
      <w:rFonts w:ascii="2  Nazanin" w:eastAsia="2  Nazanin" w:hAnsi="2  Nazanin" w:cs="2  Nazanin"/>
      <w:noProof/>
      <w:color w:val="000000"/>
      <w:sz w:val="28"/>
      <w:szCs w:val="28"/>
    </w:rPr>
  </w:style>
  <w:style w:type="character" w:customStyle="1" w:styleId="DefaultParagraphFont2">
    <w:name w:val="Default Paragraph Font2"/>
    <w:rsid w:val="00F51D30"/>
  </w:style>
  <w:style w:type="paragraph" w:customStyle="1" w:styleId="Heading">
    <w:name w:val="Heading"/>
    <w:basedOn w:val="Normal"/>
    <w:next w:val="BodyText"/>
    <w:rsid w:val="00F51D30"/>
    <w:pPr>
      <w:keepNext/>
      <w:suppressAutoHyphens/>
      <w:bidi w:val="0"/>
      <w:spacing w:before="240" w:after="120" w:line="259" w:lineRule="auto"/>
    </w:pPr>
    <w:rPr>
      <w:rFonts w:ascii="Arial" w:eastAsia="Microsoft YaHei" w:hAnsi="Arial" w:cs="Mangal"/>
      <w:color w:val="auto"/>
      <w:lang w:eastAsia="ar-SA"/>
    </w:rPr>
  </w:style>
  <w:style w:type="paragraph" w:styleId="BodyText">
    <w:name w:val="Body Text"/>
    <w:basedOn w:val="Normal"/>
    <w:link w:val="BodyTextChar"/>
    <w:uiPriority w:val="99"/>
    <w:rsid w:val="00F51D30"/>
    <w:pPr>
      <w:suppressAutoHyphens/>
      <w:bidi w:val="0"/>
      <w:spacing w:after="120" w:line="259" w:lineRule="auto"/>
    </w:pPr>
    <w:rPr>
      <w:rFonts w:ascii="Times New Roman" w:eastAsia="SimSun" w:hAnsi="Times New Roman" w:cs="B Lotus"/>
      <w:color w:val="auto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51D30"/>
    <w:rPr>
      <w:rFonts w:ascii="Times New Roman" w:eastAsia="SimSun" w:hAnsi="Times New Roman" w:cs="B Lotus"/>
      <w:sz w:val="24"/>
      <w:szCs w:val="28"/>
      <w:lang w:eastAsia="ar-SA"/>
    </w:rPr>
  </w:style>
  <w:style w:type="paragraph" w:styleId="List">
    <w:name w:val="List"/>
    <w:basedOn w:val="BodyText"/>
    <w:uiPriority w:val="99"/>
    <w:rsid w:val="00F51D30"/>
    <w:rPr>
      <w:rFonts w:cs="Mangal"/>
    </w:rPr>
  </w:style>
  <w:style w:type="paragraph" w:styleId="Caption">
    <w:name w:val="caption"/>
    <w:basedOn w:val="Normal"/>
    <w:uiPriority w:val="35"/>
    <w:qFormat/>
    <w:rsid w:val="00F51D30"/>
    <w:pPr>
      <w:suppressLineNumbers/>
      <w:suppressAutoHyphens/>
      <w:bidi w:val="0"/>
      <w:spacing w:before="120" w:after="120" w:line="259" w:lineRule="auto"/>
    </w:pPr>
    <w:rPr>
      <w:rFonts w:ascii="Times New Roman" w:eastAsia="SimSun" w:hAnsi="Times New Roman" w:cs="Mangal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Normal"/>
    <w:rsid w:val="00F51D30"/>
    <w:pPr>
      <w:suppressLineNumbers/>
      <w:suppressAutoHyphens/>
      <w:bidi w:val="0"/>
      <w:spacing w:after="160" w:line="259" w:lineRule="auto"/>
    </w:pPr>
    <w:rPr>
      <w:rFonts w:ascii="Times New Roman" w:eastAsia="SimSun" w:hAnsi="Times New Roman" w:cs="Mangal"/>
      <w:color w:val="auto"/>
      <w:sz w:val="24"/>
      <w:lang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F51D30"/>
    <w:pPr>
      <w:suppressAutoHyphens/>
      <w:bidi w:val="0"/>
      <w:spacing w:after="160" w:line="259" w:lineRule="auto"/>
    </w:pPr>
    <w:rPr>
      <w:rFonts w:ascii="Times New Roman" w:eastAsia="SimSun" w:hAnsi="Times New Roman" w:cs="B Lotus"/>
      <w:color w:val="auto"/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D30"/>
    <w:rPr>
      <w:rFonts w:ascii="Times New Roman" w:eastAsia="SimSun" w:hAnsi="Times New Roman" w:cs="B Lotus"/>
      <w:sz w:val="20"/>
      <w:szCs w:val="28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30"/>
    <w:rPr>
      <w:rFonts w:ascii="Times New Roman" w:eastAsia="SimSun" w:hAnsi="Times New Roman" w:cs="B Lotus"/>
      <w:b/>
      <w:bCs/>
      <w:sz w:val="20"/>
      <w:szCs w:val="2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3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51D30"/>
    <w:rPr>
      <w:rFonts w:ascii="2  Nazanin" w:eastAsia="2  Nazanin" w:hAnsi="2  Nazanin" w:cs="2  Nazanin"/>
      <w:b/>
      <w:bCs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D30"/>
    <w:rPr>
      <w:rFonts w:ascii="Times New Roman" w:eastAsia="SimSun" w:hAnsi="Times New Roman" w:cs="B Lotus"/>
      <w:sz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D30"/>
    <w:pPr>
      <w:suppressAutoHyphens/>
      <w:bidi w:val="0"/>
      <w:spacing w:after="160" w:line="259" w:lineRule="auto"/>
    </w:pPr>
    <w:rPr>
      <w:rFonts w:ascii="Times New Roman" w:eastAsia="SimSun" w:hAnsi="Times New Roman" w:cs="B Lotus"/>
      <w:color w:val="auto"/>
      <w:sz w:val="20"/>
      <w:szCs w:val="22"/>
      <w:lang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F51D30"/>
    <w:rPr>
      <w:rFonts w:ascii="2  Nazanin" w:eastAsia="2  Nazanin" w:hAnsi="2  Nazanin" w:cs="2  Nazani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1D30"/>
    <w:rPr>
      <w:rFonts w:cs="Times New Roman"/>
      <w:b/>
    </w:rPr>
  </w:style>
  <w:style w:type="character" w:customStyle="1" w:styleId="st1">
    <w:name w:val="st1"/>
    <w:rsid w:val="00F51D3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D30"/>
    <w:rPr>
      <w:rFonts w:ascii="Times New Roman" w:eastAsia="SimSun" w:hAnsi="Times New Roman" w:cs="B Lotus"/>
      <w:sz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1D30"/>
    <w:pPr>
      <w:suppressAutoHyphens/>
      <w:bidi w:val="0"/>
      <w:spacing w:line="240" w:lineRule="auto"/>
    </w:pPr>
    <w:rPr>
      <w:rFonts w:ascii="Times New Roman" w:eastAsia="SimSun" w:hAnsi="Times New Roman" w:cs="B Lotus"/>
      <w:color w:val="auto"/>
      <w:sz w:val="20"/>
      <w:szCs w:val="22"/>
      <w:lang w:eastAsia="ar-SA"/>
    </w:rPr>
  </w:style>
  <w:style w:type="character" w:customStyle="1" w:styleId="EndnoteTextChar1">
    <w:name w:val="Endnote Text Char1"/>
    <w:basedOn w:val="DefaultParagraphFont"/>
    <w:uiPriority w:val="99"/>
    <w:semiHidden/>
    <w:rsid w:val="00F51D30"/>
    <w:rPr>
      <w:rFonts w:ascii="2  Nazanin" w:eastAsia="2  Nazanin" w:hAnsi="2  Nazanin" w:cs="2  Nazani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51D30"/>
    <w:pPr>
      <w:suppressAutoHyphens/>
      <w:bidi w:val="0"/>
      <w:spacing w:after="160" w:line="259" w:lineRule="auto"/>
      <w:ind w:left="720"/>
      <w:contextualSpacing/>
    </w:pPr>
    <w:rPr>
      <w:rFonts w:ascii="Times New Roman" w:eastAsia="SimSun" w:hAnsi="Times New Roman" w:cs="B Lotus"/>
      <w:color w:val="auto"/>
      <w:sz w:val="24"/>
      <w:lang w:eastAsia="ar-SA"/>
    </w:rPr>
  </w:style>
  <w:style w:type="character" w:customStyle="1" w:styleId="highlight2">
    <w:name w:val="highlight2"/>
    <w:basedOn w:val="DefaultParagraphFont"/>
    <w:rsid w:val="00F51D30"/>
    <w:rPr>
      <w:rFonts w:cs="Times New Roman"/>
    </w:rPr>
  </w:style>
  <w:style w:type="character" w:customStyle="1" w:styleId="hps">
    <w:name w:val="hps"/>
    <w:basedOn w:val="DefaultParagraphFont"/>
    <w:rsid w:val="00F51D30"/>
    <w:rPr>
      <w:rFonts w:cs="Times New Roman"/>
    </w:rPr>
  </w:style>
  <w:style w:type="paragraph" w:styleId="NoSpacing">
    <w:name w:val="No Spacing"/>
    <w:uiPriority w:val="1"/>
    <w:qFormat/>
    <w:rsid w:val="00F51D30"/>
    <w:pPr>
      <w:suppressAutoHyphens/>
      <w:spacing w:after="0" w:line="240" w:lineRule="auto"/>
    </w:pPr>
    <w:rPr>
      <w:rFonts w:ascii="Times New Roman" w:eastAsia="SimSun" w:hAnsi="Times New Roman" w:cs="B Lotus"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F51D30"/>
    <w:pPr>
      <w:tabs>
        <w:tab w:val="center" w:pos="4680"/>
        <w:tab w:val="right" w:pos="9360"/>
      </w:tabs>
      <w:suppressAutoHyphens/>
      <w:bidi w:val="0"/>
      <w:spacing w:line="240" w:lineRule="auto"/>
    </w:pPr>
    <w:rPr>
      <w:rFonts w:ascii="Times New Roman" w:eastAsia="SimSun" w:hAnsi="Times New Roman" w:cs="B Lotus"/>
      <w:color w:val="auto"/>
      <w:sz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51D30"/>
    <w:rPr>
      <w:rFonts w:ascii="Times New Roman" w:eastAsia="SimSun" w:hAnsi="Times New Roman" w:cs="B Lotus"/>
      <w:sz w:val="24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F51D30"/>
    <w:pPr>
      <w:tabs>
        <w:tab w:val="center" w:pos="4680"/>
        <w:tab w:val="right" w:pos="9360"/>
      </w:tabs>
      <w:suppressAutoHyphens/>
      <w:bidi w:val="0"/>
      <w:spacing w:line="240" w:lineRule="auto"/>
    </w:pPr>
    <w:rPr>
      <w:rFonts w:ascii="Times New Roman" w:eastAsia="SimSun" w:hAnsi="Times New Roman" w:cs="B Lotus"/>
      <w:color w:val="auto"/>
      <w:sz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51D30"/>
    <w:rPr>
      <w:rFonts w:ascii="Times New Roman" w:eastAsia="SimSun" w:hAnsi="Times New Roman" w:cs="B Lotus"/>
      <w:sz w:val="24"/>
      <w:szCs w:val="28"/>
      <w:lang w:eastAsia="ar-SA"/>
    </w:rPr>
  </w:style>
  <w:style w:type="table" w:customStyle="1" w:styleId="PlainTable21">
    <w:name w:val="Plain Table 21"/>
    <w:basedOn w:val="TableNormal"/>
    <w:uiPriority w:val="42"/>
    <w:rsid w:val="00F51D30"/>
    <w:pPr>
      <w:spacing w:after="0" w:line="240" w:lineRule="auto"/>
    </w:pPr>
    <w:rPr>
      <w:rFonts w:eastAsia="Times New Roman" w:cs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Arial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Arial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Arial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F51D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F51D30"/>
    <w:pPr>
      <w:bidi/>
      <w:spacing w:after="0" w:line="240" w:lineRule="auto"/>
    </w:pPr>
    <w:rPr>
      <w:rFonts w:ascii="2  Nazanin" w:eastAsia="2  Nazanin" w:hAnsi="2  Nazanin" w:cs="2  Nazanin"/>
      <w:color w:val="000000"/>
      <w:sz w:val="28"/>
      <w:szCs w:val="28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F51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1D30"/>
    <w:rPr>
      <w:sz w:val="16"/>
      <w:szCs w:val="16"/>
    </w:rPr>
  </w:style>
  <w:style w:type="table" w:styleId="TableGrid">
    <w:name w:val="Table Grid"/>
    <w:basedOn w:val="TableNormal"/>
    <w:uiPriority w:val="59"/>
    <w:rsid w:val="00F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