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2A" w:rsidRPr="000E602A" w:rsidRDefault="000E602A" w:rsidP="000E60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2A">
        <w:rPr>
          <w:rFonts w:ascii="Times New Roman" w:hAnsi="Times New Roman" w:cs="Times New Roman"/>
          <w:sz w:val="24"/>
          <w:szCs w:val="24"/>
        </w:rPr>
        <w:t>Table 3. Themes, categories and sub categories of the integrated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066"/>
        <w:gridCol w:w="3074"/>
      </w:tblGrid>
      <w:tr w:rsidR="000E602A" w:rsidRPr="000E602A" w:rsidTr="00FF1BA2">
        <w:trPr>
          <w:trHeight w:val="422"/>
        </w:trPr>
        <w:tc>
          <w:tcPr>
            <w:tcW w:w="3192" w:type="dxa"/>
          </w:tcPr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  <w:tc>
          <w:tcPr>
            <w:tcW w:w="3192" w:type="dxa"/>
          </w:tcPr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b/>
                <w:sz w:val="24"/>
                <w:szCs w:val="24"/>
              </w:rPr>
              <w:t>CATEGORIES</w:t>
            </w:r>
          </w:p>
        </w:tc>
        <w:tc>
          <w:tcPr>
            <w:tcW w:w="3192" w:type="dxa"/>
          </w:tcPr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b/>
                <w:sz w:val="24"/>
                <w:szCs w:val="24"/>
              </w:rPr>
              <w:t>SUB CATEGORIES</w:t>
            </w:r>
          </w:p>
        </w:tc>
      </w:tr>
      <w:tr w:rsidR="000E602A" w:rsidRPr="000E602A" w:rsidTr="00FF1BA2">
        <w:tc>
          <w:tcPr>
            <w:tcW w:w="3192" w:type="dxa"/>
          </w:tcPr>
          <w:p w:rsidR="000E602A" w:rsidRPr="000E602A" w:rsidRDefault="000E602A" w:rsidP="000E60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Positive outcomes in online learning context</w:t>
            </w:r>
          </w:p>
        </w:tc>
        <w:tc>
          <w:tcPr>
            <w:tcW w:w="3192" w:type="dxa"/>
          </w:tcPr>
          <w:p w:rsidR="000E602A" w:rsidRPr="000E602A" w:rsidRDefault="000E602A" w:rsidP="00FF1BA2">
            <w:pPr>
              <w:spacing w:after="0" w:line="360" w:lineRule="auto"/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1.1 Increased student satisfaction and motivation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Matlakala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Holland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Akimanimpaye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Fakude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Du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McCutcheon et al.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Andrew et al.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Gilmore &amp; Lyons (2012)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Lounsbery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Pittenger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Davies et al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Pryjmachuk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et al.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Salyers et al. (2014)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McKee et al. (2010)</w:t>
            </w: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1.2 Enhance problem solving skills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Matlakala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Hsu &amp; Hsieh (2014)</w:t>
            </w: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1.3 Increased flexibility for learning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Davies et al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Akimanimpaye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Fakude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Du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Andrew et al.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Gilmore &amp; Lyons (2012)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Holland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Bigony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Salyers et al. (2014)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Pryjmachuk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et al.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McKee et al. (2010)</w:t>
            </w: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1.4 Conducive learning environment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Du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Andrew et al.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Akimanimpaye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Fakude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1.5 Collaborative learning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Hsu &amp; Hsieh (2014)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Matlakala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Akimanimpaye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Fakude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Salyers et al. (2014)</w:t>
            </w: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1.6 Enhances student participation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Vonderwell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Boboc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Hsu &amp; Hsieh (2014)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Matlakala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Akimanimpaye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Fakude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Du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Andrew et al.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Mostert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Snowball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Bigony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1.7 Integrates theory-practice gap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McCutheon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et al.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Agrawal </w:t>
            </w:r>
            <w:proofErr w:type="gram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et al.(</w:t>
            </w:r>
            <w:proofErr w:type="gram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2016)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Holland et al. (2013)</w:t>
            </w: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1.8 Enhances computer literacy skills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Holland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Davies et al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Akimanimpaye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Fakude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Bigony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1.9 Increase access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Bigony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Salyers et al. (2014)</w:t>
            </w:r>
          </w:p>
          <w:p w:rsidR="000E602A" w:rsidRPr="000E602A" w:rsidRDefault="000E602A" w:rsidP="00FF1BA2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602A" w:rsidRPr="000E602A" w:rsidRDefault="000E602A" w:rsidP="000E602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Enhances retention of students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Lifelong learning</w:t>
            </w: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Critical thinking skills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Knowledge acquisition and retention</w:t>
            </w: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Student-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centred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learning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Self-directed learning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Accommodate work and family responsibilities</w:t>
            </w: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Non-threatening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User friendly</w:t>
            </w: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Peer support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Information sharing</w:t>
            </w: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Active involvement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Take responsibility for learning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Increase decision making and control over learning aspects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Student connectivity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Increases independence/self-efficacy of students</w:t>
            </w: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Unlimited opportunities to observe the demonstration of practical skill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Integrates knowledge and skills</w:t>
            </w: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Distant/rural areas</w:t>
            </w: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2A" w:rsidRPr="000E602A" w:rsidTr="00FF1BA2">
        <w:tc>
          <w:tcPr>
            <w:tcW w:w="3192" w:type="dxa"/>
          </w:tcPr>
          <w:p w:rsidR="000E602A" w:rsidRPr="000E602A" w:rsidRDefault="000E602A" w:rsidP="000E60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Challenges in the online learning context</w:t>
            </w:r>
          </w:p>
        </w:tc>
        <w:tc>
          <w:tcPr>
            <w:tcW w:w="3192" w:type="dxa"/>
          </w:tcPr>
          <w:p w:rsidR="000E602A" w:rsidRPr="000E602A" w:rsidRDefault="000E602A" w:rsidP="00FF1BA2">
            <w:pPr>
              <w:spacing w:after="0" w:line="360" w:lineRule="auto"/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2.1 Unstable internet connectivity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Esewe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Adejumo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Maboe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de Villiers (2011)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Davies et al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Akimanimpaye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Fakude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Matlakala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et al. (2013)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McKee et al. (2010)</w:t>
            </w:r>
          </w:p>
          <w:p w:rsidR="000E602A" w:rsidRPr="000E602A" w:rsidRDefault="000E602A" w:rsidP="00FF1BA2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2.2 Inadequate internet facilities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Esewe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Adejumo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Maboe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de Villiers (2011)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Akimanimpaye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Fakude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McKee et al. (2010)</w:t>
            </w: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ind w:left="408" w:hanging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2.3 Limited computer literacy/competencies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Esewe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Adejumo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Maboe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de Villiers (2011)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Davies et al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McKee et al. (2010)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ind w:left="408"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2.4 Limited support from facilitator/lecturer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Esewe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Adejumo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Maboe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&amp; de Villiers (2011)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Davies et al (2015)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McKee et al. (2010)</w:t>
            </w: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2.5 Financial implications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Bigony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(2010)</w:t>
            </w:r>
          </w:p>
          <w:p w:rsidR="000E602A" w:rsidRPr="000E602A" w:rsidRDefault="000E602A" w:rsidP="00FF1BA2">
            <w:pPr>
              <w:spacing w:after="0" w:line="360" w:lineRule="auto"/>
              <w:ind w:left="408" w:hanging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Technical problems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Inconsistent power supply</w:t>
            </w: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Unavailability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Limited access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Lack of infrastructure</w:t>
            </w: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Limited computer training</w:t>
            </w: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Availability of ICT technicians or experts</w:t>
            </w: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FF1BA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Computer costs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Training costs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Internet data costs</w:t>
            </w:r>
          </w:p>
          <w:p w:rsidR="000E602A" w:rsidRPr="000E602A" w:rsidRDefault="000E602A" w:rsidP="000E602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Cost of </w:t>
            </w:r>
            <w:proofErr w:type="spellStart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0E602A">
              <w:rPr>
                <w:rFonts w:ascii="Times New Roman" w:hAnsi="Times New Roman" w:cs="Times New Roman"/>
                <w:sz w:val="24"/>
                <w:szCs w:val="24"/>
              </w:rPr>
              <w:t xml:space="preserve"> development</w:t>
            </w:r>
          </w:p>
        </w:tc>
      </w:tr>
    </w:tbl>
    <w:p w:rsidR="000E602A" w:rsidRPr="002232ED" w:rsidRDefault="000E602A" w:rsidP="000E602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C747C" w:rsidRDefault="000E602A"/>
    <w:sectPr w:rsidR="005C7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9C9"/>
    <w:multiLevelType w:val="hybridMultilevel"/>
    <w:tmpl w:val="0CB2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1710"/>
    <w:multiLevelType w:val="multilevel"/>
    <w:tmpl w:val="B7388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7707F2"/>
    <w:multiLevelType w:val="hybridMultilevel"/>
    <w:tmpl w:val="23CA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E1E02"/>
    <w:multiLevelType w:val="hybridMultilevel"/>
    <w:tmpl w:val="52E2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14D5"/>
    <w:multiLevelType w:val="hybridMultilevel"/>
    <w:tmpl w:val="400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F1A2B"/>
    <w:multiLevelType w:val="hybridMultilevel"/>
    <w:tmpl w:val="0404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E37A9"/>
    <w:multiLevelType w:val="hybridMultilevel"/>
    <w:tmpl w:val="6A6A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2A"/>
    <w:rsid w:val="000E602A"/>
    <w:rsid w:val="00AB51AA"/>
    <w:rsid w:val="00B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6341"/>
  <w15:chartTrackingRefBased/>
  <w15:docId w15:val="{CA30005A-3FC0-48C3-A59C-476AB22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2A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Janse van Rensburg</dc:creator>
  <cp:keywords/>
  <dc:description/>
  <cp:lastModifiedBy>Elsie Janse van Rensburg</cp:lastModifiedBy>
  <cp:revision>1</cp:revision>
  <dcterms:created xsi:type="dcterms:W3CDTF">2017-11-03T12:31:00Z</dcterms:created>
  <dcterms:modified xsi:type="dcterms:W3CDTF">2017-11-03T12:32:00Z</dcterms:modified>
</cp:coreProperties>
</file>