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6D1" w:rsidRPr="00112B3E" w:rsidRDefault="007525D8" w:rsidP="00112B3E">
      <w:pPr>
        <w:spacing w:line="48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Supplementary</w:t>
      </w:r>
      <w:r w:rsidR="00112B3E" w:rsidRPr="00112B3E">
        <w:rPr>
          <w:rFonts w:ascii="Times New Roman" w:hAnsi="Times New Roman" w:cs="Times New Roman"/>
          <w:b/>
          <w:color w:val="000000"/>
          <w:sz w:val="32"/>
          <w:szCs w:val="32"/>
        </w:rPr>
        <w:t xml:space="preserve"> </w:t>
      </w:r>
      <w:r w:rsidR="006C0AC9">
        <w:rPr>
          <w:rFonts w:ascii="Times New Roman" w:hAnsi="Times New Roman" w:cs="Times New Roman"/>
          <w:b/>
          <w:color w:val="000000"/>
          <w:sz w:val="32"/>
          <w:szCs w:val="32"/>
        </w:rPr>
        <w:t>material</w:t>
      </w:r>
    </w:p>
    <w:p w:rsidR="004341FD" w:rsidRDefault="00637E0D" w:rsidP="00637E0D">
      <w:pPr>
        <w:jc w:val="center"/>
      </w:pPr>
      <w:r w:rsidRPr="0000440A">
        <w:rPr>
          <w:rFonts w:ascii="Times New Roman" w:hAnsi="Times New Roman" w:cs="Times New Roman"/>
          <w:b/>
          <w:noProof/>
          <w:szCs w:val="24"/>
        </w:rPr>
        <w:drawing>
          <wp:inline distT="0" distB="0" distL="0" distR="0" wp14:anchorId="4CDFE892" wp14:editId="44EA0CD8">
            <wp:extent cx="3877056" cy="4603985"/>
            <wp:effectExtent l="0" t="0" r="9525"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926" cy="4609769"/>
                    </a:xfrm>
                    <a:prstGeom prst="rect">
                      <a:avLst/>
                    </a:prstGeom>
                    <a:noFill/>
                  </pic:spPr>
                </pic:pic>
              </a:graphicData>
            </a:graphic>
          </wp:inline>
        </w:drawing>
      </w:r>
      <w:bookmarkStart w:id="0" w:name="_GoBack"/>
      <w:bookmarkEnd w:id="0"/>
    </w:p>
    <w:p w:rsidR="00637E0D" w:rsidRDefault="00637E0D" w:rsidP="007D56D1">
      <w:pPr>
        <w:pStyle w:val="a3"/>
        <w:adjustRightInd w:val="0"/>
        <w:snapToGrid w:val="0"/>
        <w:spacing w:line="480" w:lineRule="auto"/>
        <w:ind w:rightChars="35" w:right="84"/>
        <w:jc w:val="both"/>
        <w:rPr>
          <w:rFonts w:ascii="Times New Roman" w:hAnsi="Times New Roman" w:cs="Times New Roman"/>
          <w:b/>
          <w:sz w:val="24"/>
          <w:szCs w:val="24"/>
        </w:rPr>
      </w:pPr>
      <w:bookmarkStart w:id="1" w:name="_Toc513813266"/>
      <w:bookmarkStart w:id="2" w:name="_Toc518412872"/>
      <w:r w:rsidRPr="00E67438">
        <w:rPr>
          <w:rFonts w:ascii="Times New Roman" w:hAnsi="Times New Roman" w:cs="Times New Roman"/>
          <w:b/>
          <w:sz w:val="24"/>
          <w:szCs w:val="24"/>
        </w:rPr>
        <w:t>Fig. S</w:t>
      </w:r>
      <w:r w:rsidRPr="00E67438">
        <w:rPr>
          <w:rFonts w:ascii="Times New Roman" w:hAnsi="Times New Roman" w:cs="Times New Roman"/>
          <w:b/>
          <w:sz w:val="24"/>
          <w:szCs w:val="24"/>
        </w:rPr>
        <w:fldChar w:fldCharType="begin"/>
      </w:r>
      <w:r w:rsidRPr="00E67438">
        <w:rPr>
          <w:rFonts w:ascii="Times New Roman" w:hAnsi="Times New Roman" w:cs="Times New Roman"/>
          <w:b/>
          <w:sz w:val="24"/>
          <w:szCs w:val="24"/>
        </w:rPr>
        <w:instrText xml:space="preserve"> SEQ Fig. \* ARABIC </w:instrText>
      </w:r>
      <w:r w:rsidRPr="00E67438">
        <w:rPr>
          <w:rFonts w:ascii="Times New Roman" w:hAnsi="Times New Roman" w:cs="Times New Roman"/>
          <w:b/>
          <w:sz w:val="24"/>
          <w:szCs w:val="24"/>
        </w:rPr>
        <w:fldChar w:fldCharType="separate"/>
      </w:r>
      <w:r w:rsidR="00A5225C">
        <w:rPr>
          <w:rFonts w:ascii="Times New Roman" w:hAnsi="Times New Roman" w:cs="Times New Roman"/>
          <w:b/>
          <w:noProof/>
          <w:sz w:val="24"/>
          <w:szCs w:val="24"/>
        </w:rPr>
        <w:t>1</w:t>
      </w:r>
      <w:r w:rsidRPr="00E67438">
        <w:rPr>
          <w:rFonts w:ascii="Times New Roman" w:hAnsi="Times New Roman" w:cs="Times New Roman"/>
          <w:b/>
          <w:sz w:val="24"/>
          <w:szCs w:val="24"/>
        </w:rPr>
        <w:fldChar w:fldCharType="end"/>
      </w:r>
      <w:r w:rsidRPr="00E67438">
        <w:rPr>
          <w:rFonts w:ascii="Times New Roman" w:hAnsi="Times New Roman" w:cs="Times New Roman"/>
          <w:b/>
          <w:sz w:val="24"/>
          <w:szCs w:val="24"/>
        </w:rPr>
        <w:t xml:space="preserve"> </w:t>
      </w:r>
      <w:r w:rsidRPr="00E67438">
        <w:rPr>
          <w:rFonts w:ascii="Times New Roman" w:hAnsi="Times New Roman" w:cs="Times New Roman"/>
          <w:b/>
          <w:bCs/>
          <w:sz w:val="24"/>
          <w:szCs w:val="24"/>
        </w:rPr>
        <w:t xml:space="preserve">– </w:t>
      </w:r>
      <w:r w:rsidRPr="00E67438">
        <w:rPr>
          <w:rFonts w:ascii="Times New Roman" w:hAnsi="Times New Roman" w:cs="Times New Roman"/>
          <w:b/>
          <w:sz w:val="24"/>
          <w:szCs w:val="24"/>
        </w:rPr>
        <w:t>SEM micrographs of LDH-CO</w:t>
      </w:r>
      <w:r w:rsidRPr="00E67438">
        <w:rPr>
          <w:rFonts w:ascii="Times New Roman" w:hAnsi="Times New Roman" w:cs="Times New Roman"/>
          <w:b/>
          <w:sz w:val="24"/>
          <w:szCs w:val="24"/>
          <w:vertAlign w:val="subscript"/>
        </w:rPr>
        <w:t>3</w:t>
      </w:r>
      <w:r w:rsidRPr="00E67438">
        <w:rPr>
          <w:rFonts w:ascii="Times New Roman" w:hAnsi="Times New Roman" w:cs="Times New Roman"/>
          <w:b/>
          <w:sz w:val="24"/>
          <w:szCs w:val="24"/>
        </w:rPr>
        <w:t xml:space="preserve"> (a) (b), WLDH-CO</w:t>
      </w:r>
      <w:r w:rsidRPr="00E67438">
        <w:rPr>
          <w:rFonts w:ascii="Times New Roman" w:hAnsi="Times New Roman" w:cs="Times New Roman"/>
          <w:b/>
          <w:sz w:val="24"/>
          <w:szCs w:val="24"/>
          <w:vertAlign w:val="subscript"/>
        </w:rPr>
        <w:t>3</w:t>
      </w:r>
      <w:r w:rsidRPr="00E67438">
        <w:rPr>
          <w:rFonts w:ascii="Times New Roman" w:hAnsi="Times New Roman" w:cs="Times New Roman"/>
          <w:b/>
          <w:sz w:val="24"/>
          <w:szCs w:val="24"/>
        </w:rPr>
        <w:t xml:space="preserve"> (c) (d) and DLDH-CO</w:t>
      </w:r>
      <w:r w:rsidRPr="00E67438">
        <w:rPr>
          <w:rFonts w:ascii="Times New Roman" w:hAnsi="Times New Roman" w:cs="Times New Roman"/>
          <w:b/>
          <w:sz w:val="24"/>
          <w:szCs w:val="24"/>
          <w:vertAlign w:val="subscript"/>
        </w:rPr>
        <w:t>3</w:t>
      </w:r>
      <w:r w:rsidRPr="00E67438">
        <w:rPr>
          <w:rFonts w:ascii="Times New Roman" w:hAnsi="Times New Roman" w:cs="Times New Roman"/>
          <w:b/>
          <w:sz w:val="24"/>
          <w:szCs w:val="24"/>
        </w:rPr>
        <w:t xml:space="preserve"> (e) (f).</w:t>
      </w:r>
      <w:bookmarkEnd w:id="1"/>
      <w:bookmarkEnd w:id="2"/>
      <w:r w:rsidRPr="00E67438">
        <w:rPr>
          <w:rFonts w:ascii="Times New Roman" w:hAnsi="Times New Roman" w:cs="Times New Roman"/>
          <w:b/>
          <w:sz w:val="24"/>
          <w:szCs w:val="24"/>
        </w:rPr>
        <w:t xml:space="preserve"> </w:t>
      </w:r>
    </w:p>
    <w:p w:rsidR="00637E0D" w:rsidRPr="00E67438" w:rsidRDefault="007D56D1" w:rsidP="007D56D1">
      <w:pPr>
        <w:adjustRightInd w:val="0"/>
        <w:snapToGrid w:val="0"/>
        <w:spacing w:line="480" w:lineRule="auto"/>
        <w:jc w:val="both"/>
        <w:rPr>
          <w:rFonts w:ascii="Times New Roman" w:hAnsi="Times New Roman" w:cs="Times New Roman"/>
        </w:rPr>
      </w:pPr>
      <w:r>
        <w:rPr>
          <w:rFonts w:ascii="Times New Roman" w:hAnsi="Times New Roman" w:cs="Times New Roman"/>
          <w:noProof/>
        </w:rPr>
        <w:t xml:space="preserve">    </w:t>
      </w:r>
      <w:r w:rsidR="00637E0D" w:rsidRPr="00E67438">
        <w:rPr>
          <w:rFonts w:ascii="Times New Roman" w:hAnsi="Times New Roman" w:cs="Times New Roman"/>
          <w:noProof/>
        </w:rPr>
        <w:t xml:space="preserve">As shown in </w:t>
      </w:r>
      <w:r w:rsidR="00637E0D" w:rsidRPr="00B87FD2">
        <w:rPr>
          <w:rFonts w:ascii="Times New Roman" w:hAnsi="Times New Roman" w:cs="Times New Roman"/>
          <w:b/>
          <w:noProof/>
        </w:rPr>
        <w:t>Fig.</w:t>
      </w:r>
      <w:r w:rsidR="00637E0D" w:rsidRPr="00B87FD2">
        <w:rPr>
          <w:rFonts w:ascii="Times New Roman" w:hAnsi="Times New Roman" w:cs="Times New Roman"/>
          <w:b/>
        </w:rPr>
        <w:t xml:space="preserve"> S1</w:t>
      </w:r>
      <w:r w:rsidR="00637E0D" w:rsidRPr="00E67438">
        <w:rPr>
          <w:rFonts w:ascii="Times New Roman" w:hAnsi="Times New Roman" w:cs="Times New Roman"/>
        </w:rPr>
        <w:t>, rosette-shaped LiAl-CO</w:t>
      </w:r>
      <w:r w:rsidR="00637E0D" w:rsidRPr="00B87FD2">
        <w:rPr>
          <w:rFonts w:ascii="Times New Roman" w:hAnsi="Times New Roman" w:cs="Times New Roman"/>
          <w:vertAlign w:val="subscript"/>
        </w:rPr>
        <w:t>3</w:t>
      </w:r>
      <w:r w:rsidR="00637E0D" w:rsidRPr="00E67438">
        <w:rPr>
          <w:rFonts w:ascii="Times New Roman" w:hAnsi="Times New Roman" w:cs="Times New Roman"/>
        </w:rPr>
        <w:t xml:space="preserve"> LDH were successfully prepared in this work (</w:t>
      </w:r>
      <w:r w:rsidR="00637E0D" w:rsidRPr="00B87FD2">
        <w:rPr>
          <w:rFonts w:ascii="Times New Roman" w:hAnsi="Times New Roman" w:cs="Times New Roman"/>
          <w:b/>
        </w:rPr>
        <w:t>Fig. S1a</w:t>
      </w:r>
      <w:r w:rsidR="00637E0D" w:rsidRPr="00E67438">
        <w:rPr>
          <w:rFonts w:ascii="Times New Roman" w:hAnsi="Times New Roman" w:cs="Times New Roman"/>
        </w:rPr>
        <w:t xml:space="preserve"> and </w:t>
      </w:r>
      <w:r w:rsidR="00637E0D" w:rsidRPr="00B87FD2">
        <w:rPr>
          <w:rFonts w:ascii="Times New Roman" w:hAnsi="Times New Roman" w:cs="Times New Roman"/>
          <w:b/>
        </w:rPr>
        <w:t>S1b</w:t>
      </w:r>
      <w:r w:rsidR="00637E0D" w:rsidRPr="00E67438">
        <w:rPr>
          <w:rFonts w:ascii="Times New Roman" w:hAnsi="Times New Roman" w:cs="Times New Roman"/>
        </w:rPr>
        <w:t xml:space="preserve">). </w:t>
      </w:r>
      <w:r w:rsidR="00637E0D" w:rsidRPr="00E67438">
        <w:rPr>
          <w:rFonts w:ascii="Times New Roman" w:hAnsi="Times New Roman" w:cs="Times New Roman"/>
          <w:noProof/>
        </w:rPr>
        <w:t xml:space="preserve">As shown in </w:t>
      </w:r>
      <w:r w:rsidR="00637E0D" w:rsidRPr="00B87FD2">
        <w:rPr>
          <w:rFonts w:ascii="Times New Roman" w:hAnsi="Times New Roman" w:cs="Times New Roman"/>
          <w:b/>
          <w:noProof/>
        </w:rPr>
        <w:t>Fig.</w:t>
      </w:r>
      <w:r w:rsidR="00637E0D" w:rsidRPr="00B87FD2">
        <w:rPr>
          <w:rFonts w:ascii="Times New Roman" w:hAnsi="Times New Roman" w:cs="Times New Roman"/>
          <w:b/>
        </w:rPr>
        <w:t xml:space="preserve"> </w:t>
      </w:r>
      <w:r w:rsidR="00B87FD2">
        <w:rPr>
          <w:rFonts w:ascii="Times New Roman" w:hAnsi="Times New Roman" w:cs="Times New Roman"/>
          <w:b/>
        </w:rPr>
        <w:t>S</w:t>
      </w:r>
      <w:r w:rsidR="00637E0D" w:rsidRPr="00B87FD2">
        <w:rPr>
          <w:rFonts w:ascii="Times New Roman" w:hAnsi="Times New Roman" w:cs="Times New Roman"/>
          <w:b/>
        </w:rPr>
        <w:t>1c</w:t>
      </w:r>
      <w:r w:rsidR="00637E0D" w:rsidRPr="00E67438">
        <w:rPr>
          <w:rFonts w:ascii="Times New Roman" w:hAnsi="Times New Roman" w:cs="Times New Roman"/>
        </w:rPr>
        <w:t xml:space="preserve"> and </w:t>
      </w:r>
      <w:r w:rsidR="00B87FD2" w:rsidRPr="00B87FD2">
        <w:rPr>
          <w:rFonts w:ascii="Times New Roman" w:hAnsi="Times New Roman" w:cs="Times New Roman"/>
          <w:b/>
        </w:rPr>
        <w:t>S</w:t>
      </w:r>
      <w:r w:rsidR="00637E0D" w:rsidRPr="00B87FD2">
        <w:rPr>
          <w:rFonts w:ascii="Times New Roman" w:hAnsi="Times New Roman" w:cs="Times New Roman"/>
          <w:b/>
        </w:rPr>
        <w:t>1d</w:t>
      </w:r>
      <w:r w:rsidR="00637E0D" w:rsidRPr="00E67438">
        <w:rPr>
          <w:rFonts w:ascii="Times New Roman" w:hAnsi="Times New Roman" w:cs="Times New Roman"/>
        </w:rPr>
        <w:t>, the rosette-shaped LDH-CO</w:t>
      </w:r>
      <w:r w:rsidR="00637E0D" w:rsidRPr="00B87FD2">
        <w:rPr>
          <w:rFonts w:ascii="Times New Roman" w:hAnsi="Times New Roman" w:cs="Times New Roman"/>
          <w:vertAlign w:val="subscript"/>
        </w:rPr>
        <w:t>3</w:t>
      </w:r>
      <w:r w:rsidR="00637E0D" w:rsidRPr="00E67438">
        <w:rPr>
          <w:rFonts w:ascii="Times New Roman" w:hAnsi="Times New Roman" w:cs="Times New Roman"/>
        </w:rPr>
        <w:t xml:space="preserve"> were successfully exfoliated by wet ball milling, the plate-like WLDH-CO</w:t>
      </w:r>
      <w:r w:rsidR="00637E0D" w:rsidRPr="00B87FD2">
        <w:rPr>
          <w:rFonts w:ascii="Times New Roman" w:hAnsi="Times New Roman" w:cs="Times New Roman"/>
          <w:vertAlign w:val="subscript"/>
        </w:rPr>
        <w:t>3</w:t>
      </w:r>
      <w:r w:rsidR="00637E0D" w:rsidRPr="00E67438">
        <w:rPr>
          <w:rFonts w:ascii="Times New Roman" w:hAnsi="Times New Roman" w:cs="Times New Roman"/>
        </w:rPr>
        <w:t xml:space="preserve"> powder demonstrated a </w:t>
      </w:r>
      <w:r w:rsidR="00637E0D" w:rsidRPr="00E67438">
        <w:rPr>
          <w:rFonts w:ascii="Times New Roman" w:hAnsi="Times New Roman" w:cs="Times New Roman"/>
          <w:noProof/>
        </w:rPr>
        <w:t>slightly</w:t>
      </w:r>
      <w:r w:rsidR="00637E0D" w:rsidRPr="00E67438">
        <w:rPr>
          <w:rFonts w:ascii="Times New Roman" w:hAnsi="Times New Roman" w:cs="Times New Roman"/>
        </w:rPr>
        <w:t xml:space="preserve"> increased specific surface area. The SEM images of the DLDH-CO</w:t>
      </w:r>
      <w:r w:rsidR="00637E0D" w:rsidRPr="00B87FD2">
        <w:rPr>
          <w:rFonts w:ascii="Times New Roman" w:hAnsi="Times New Roman" w:cs="Times New Roman"/>
          <w:vertAlign w:val="subscript"/>
        </w:rPr>
        <w:t>3</w:t>
      </w:r>
      <w:r w:rsidR="00637E0D" w:rsidRPr="00E67438">
        <w:rPr>
          <w:rFonts w:ascii="Times New Roman" w:hAnsi="Times New Roman" w:cs="Times New Roman"/>
        </w:rPr>
        <w:t xml:space="preserve"> (</w:t>
      </w:r>
      <w:r w:rsidR="00637E0D" w:rsidRPr="00B87FD2">
        <w:rPr>
          <w:rFonts w:ascii="Times New Roman" w:hAnsi="Times New Roman" w:cs="Times New Roman"/>
          <w:b/>
        </w:rPr>
        <w:t xml:space="preserve">Fig. </w:t>
      </w:r>
      <w:r w:rsidR="00B87FD2">
        <w:rPr>
          <w:rFonts w:ascii="Times New Roman" w:hAnsi="Times New Roman" w:cs="Times New Roman"/>
          <w:b/>
        </w:rPr>
        <w:t>S</w:t>
      </w:r>
      <w:r w:rsidR="00295A55">
        <w:rPr>
          <w:rFonts w:ascii="Times New Roman" w:hAnsi="Times New Roman" w:cs="Times New Roman"/>
          <w:b/>
        </w:rPr>
        <w:t>1e</w:t>
      </w:r>
      <w:r w:rsidR="00637E0D" w:rsidRPr="00E67438">
        <w:rPr>
          <w:rFonts w:ascii="Times New Roman" w:hAnsi="Times New Roman" w:cs="Times New Roman"/>
        </w:rPr>
        <w:t xml:space="preserve"> and </w:t>
      </w:r>
      <w:r w:rsidR="00B87FD2" w:rsidRPr="00B87FD2">
        <w:rPr>
          <w:rFonts w:ascii="Times New Roman" w:hAnsi="Times New Roman" w:cs="Times New Roman"/>
          <w:b/>
        </w:rPr>
        <w:t>S</w:t>
      </w:r>
      <w:r w:rsidR="00295A55">
        <w:rPr>
          <w:rFonts w:ascii="Times New Roman" w:hAnsi="Times New Roman" w:cs="Times New Roman"/>
          <w:b/>
        </w:rPr>
        <w:t>1f</w:t>
      </w:r>
      <w:r w:rsidR="00637E0D" w:rsidRPr="00E67438">
        <w:rPr>
          <w:rFonts w:ascii="Times New Roman" w:hAnsi="Times New Roman" w:cs="Times New Roman"/>
        </w:rPr>
        <w:t xml:space="preserve">) indicated that nanoscale particles </w:t>
      </w:r>
      <w:r w:rsidR="00637E0D" w:rsidRPr="00E67438">
        <w:rPr>
          <w:rFonts w:ascii="Times New Roman" w:hAnsi="Times New Roman" w:cs="Times New Roman"/>
          <w:noProof/>
        </w:rPr>
        <w:t>were obtained</w:t>
      </w:r>
      <w:r w:rsidR="00637E0D" w:rsidRPr="00E67438">
        <w:rPr>
          <w:rFonts w:ascii="Times New Roman" w:hAnsi="Times New Roman" w:cs="Times New Roman"/>
        </w:rPr>
        <w:t xml:space="preserve"> by dry ball milling and exhibited a high specific surface area. In this work, three particle sizes with the </w:t>
      </w:r>
      <w:r w:rsidR="00637E0D" w:rsidRPr="00E67438">
        <w:rPr>
          <w:rFonts w:ascii="Times New Roman" w:hAnsi="Times New Roman" w:cs="Times New Roman"/>
          <w:noProof/>
        </w:rPr>
        <w:t>various</w:t>
      </w:r>
      <w:r w:rsidR="00637E0D" w:rsidRPr="00E67438">
        <w:rPr>
          <w:rFonts w:ascii="Times New Roman" w:hAnsi="Times New Roman" w:cs="Times New Roman"/>
        </w:rPr>
        <w:t xml:space="preserve"> specific surface area </w:t>
      </w:r>
      <w:r w:rsidR="00637E0D" w:rsidRPr="00E67438">
        <w:rPr>
          <w:rFonts w:ascii="Times New Roman" w:hAnsi="Times New Roman" w:cs="Times New Roman"/>
          <w:noProof/>
        </w:rPr>
        <w:t>were successfully prepared</w:t>
      </w:r>
      <w:r w:rsidR="00637E0D" w:rsidRPr="00E67438">
        <w:rPr>
          <w:rFonts w:ascii="Times New Roman" w:hAnsi="Times New Roman" w:cs="Times New Roman"/>
        </w:rPr>
        <w:t xml:space="preserve"> by mechanical methods.</w:t>
      </w:r>
    </w:p>
    <w:p w:rsidR="00637E0D" w:rsidRDefault="00637E0D" w:rsidP="00F50D61"/>
    <w:p w:rsidR="00637E0D" w:rsidRDefault="00637E0D" w:rsidP="00637E0D">
      <w:pPr>
        <w:jc w:val="center"/>
      </w:pPr>
      <w:r w:rsidRPr="0000440A">
        <w:rPr>
          <w:rFonts w:ascii="Times New Roman" w:hAnsi="Times New Roman" w:cs="Times New Roman"/>
          <w:b/>
          <w:noProof/>
          <w:szCs w:val="24"/>
        </w:rPr>
        <w:drawing>
          <wp:inline distT="0" distB="0" distL="0" distR="0" wp14:anchorId="1F20CF0B" wp14:editId="48B38FC5">
            <wp:extent cx="5039360" cy="66294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435"/>
                    <a:stretch/>
                  </pic:blipFill>
                  <pic:spPr bwMode="auto">
                    <a:xfrm>
                      <a:off x="0" y="0"/>
                      <a:ext cx="5039360" cy="6629440"/>
                    </a:xfrm>
                    <a:prstGeom prst="rect">
                      <a:avLst/>
                    </a:prstGeom>
                    <a:noFill/>
                    <a:ln>
                      <a:noFill/>
                    </a:ln>
                    <a:extLst>
                      <a:ext uri="{53640926-AAD7-44D8-BBD7-CCE9431645EC}">
                        <a14:shadowObscured xmlns:a14="http://schemas.microsoft.com/office/drawing/2010/main"/>
                      </a:ext>
                    </a:extLst>
                  </pic:spPr>
                </pic:pic>
              </a:graphicData>
            </a:graphic>
          </wp:inline>
        </w:drawing>
      </w:r>
    </w:p>
    <w:p w:rsidR="00477E3A" w:rsidRDefault="00637E0D" w:rsidP="007D56D1">
      <w:pPr>
        <w:pStyle w:val="a3"/>
        <w:adjustRightInd w:val="0"/>
        <w:snapToGrid w:val="0"/>
        <w:spacing w:line="480" w:lineRule="auto"/>
        <w:ind w:rightChars="35" w:right="84"/>
        <w:jc w:val="both"/>
        <w:rPr>
          <w:rFonts w:ascii="Times New Roman" w:hAnsi="Times New Roman" w:cs="Times New Roman"/>
          <w:sz w:val="24"/>
          <w:szCs w:val="22"/>
        </w:rPr>
      </w:pPr>
      <w:r w:rsidRPr="00637E0D">
        <w:rPr>
          <w:rFonts w:ascii="Times New Roman" w:hAnsi="Times New Roman" w:cs="Times New Roman"/>
          <w:b/>
          <w:sz w:val="24"/>
          <w:szCs w:val="22"/>
        </w:rPr>
        <w:t xml:space="preserve">Fig. </w:t>
      </w:r>
      <w:r w:rsidRPr="00637E0D">
        <w:rPr>
          <w:rFonts w:ascii="Times New Roman" w:hAnsi="Times New Roman" w:cs="Times New Roman" w:hint="eastAsia"/>
          <w:b/>
          <w:sz w:val="24"/>
          <w:szCs w:val="22"/>
        </w:rPr>
        <w:t>S</w:t>
      </w:r>
      <w:r w:rsidRPr="00637E0D">
        <w:rPr>
          <w:rFonts w:ascii="Times New Roman" w:hAnsi="Times New Roman" w:cs="Times New Roman"/>
          <w:b/>
          <w:sz w:val="24"/>
          <w:szCs w:val="22"/>
        </w:rPr>
        <w:fldChar w:fldCharType="begin"/>
      </w:r>
      <w:r w:rsidRPr="00637E0D">
        <w:rPr>
          <w:rFonts w:ascii="Times New Roman" w:hAnsi="Times New Roman" w:cs="Times New Roman"/>
          <w:b/>
          <w:sz w:val="24"/>
          <w:szCs w:val="22"/>
        </w:rPr>
        <w:instrText xml:space="preserve"> SEQ Fig. \* ARABIC </w:instrText>
      </w:r>
      <w:r w:rsidRPr="00637E0D">
        <w:rPr>
          <w:rFonts w:ascii="Times New Roman" w:hAnsi="Times New Roman" w:cs="Times New Roman"/>
          <w:b/>
          <w:sz w:val="24"/>
          <w:szCs w:val="22"/>
        </w:rPr>
        <w:fldChar w:fldCharType="separate"/>
      </w:r>
      <w:r w:rsidR="00A5225C">
        <w:rPr>
          <w:rFonts w:ascii="Times New Roman" w:hAnsi="Times New Roman" w:cs="Times New Roman"/>
          <w:b/>
          <w:noProof/>
          <w:sz w:val="24"/>
          <w:szCs w:val="22"/>
        </w:rPr>
        <w:t>2</w:t>
      </w:r>
      <w:r w:rsidRPr="00637E0D">
        <w:rPr>
          <w:rFonts w:ascii="Times New Roman" w:hAnsi="Times New Roman" w:cs="Times New Roman"/>
          <w:b/>
          <w:sz w:val="24"/>
          <w:szCs w:val="22"/>
        </w:rPr>
        <w:fldChar w:fldCharType="end"/>
      </w:r>
      <w:r w:rsidRPr="00637E0D">
        <w:rPr>
          <w:rFonts w:ascii="Times New Roman" w:hAnsi="Times New Roman" w:cs="Times New Roman"/>
          <w:sz w:val="24"/>
          <w:szCs w:val="22"/>
        </w:rPr>
        <w:t xml:space="preserve"> –</w:t>
      </w:r>
      <w:r w:rsidR="00477E3A">
        <w:rPr>
          <w:rFonts w:ascii="Times New Roman" w:hAnsi="Times New Roman" w:cs="Times New Roman"/>
          <w:sz w:val="24"/>
          <w:szCs w:val="22"/>
        </w:rPr>
        <w:t xml:space="preserve"> </w:t>
      </w:r>
      <w:r w:rsidR="00477E3A" w:rsidRPr="00477E3A">
        <w:rPr>
          <w:rFonts w:ascii="Times New Roman" w:hAnsi="Times New Roman" w:cs="Times New Roman"/>
          <w:b/>
          <w:sz w:val="24"/>
          <w:szCs w:val="22"/>
        </w:rPr>
        <w:t>Evaluations of the ion-exchanging rate of anions fluoride (F</w:t>
      </w:r>
      <w:r w:rsidR="00477E3A" w:rsidRPr="00295A55">
        <w:rPr>
          <w:rFonts w:ascii="Times New Roman" w:hAnsi="Times New Roman" w:cs="Times New Roman"/>
          <w:b/>
          <w:sz w:val="24"/>
          <w:szCs w:val="22"/>
          <w:vertAlign w:val="superscript"/>
        </w:rPr>
        <w:t>-</w:t>
      </w:r>
      <w:r w:rsidR="00477E3A" w:rsidRPr="00477E3A">
        <w:rPr>
          <w:rFonts w:ascii="Times New Roman" w:hAnsi="Times New Roman" w:cs="Times New Roman"/>
          <w:b/>
          <w:sz w:val="24"/>
          <w:szCs w:val="22"/>
        </w:rPr>
        <w:t>) and carbonate group (CO</w:t>
      </w:r>
      <w:r w:rsidR="00477E3A" w:rsidRPr="00477E3A">
        <w:rPr>
          <w:rFonts w:ascii="Times New Roman" w:hAnsi="Times New Roman" w:cs="Times New Roman"/>
          <w:b/>
          <w:sz w:val="24"/>
          <w:szCs w:val="22"/>
          <w:vertAlign w:val="subscript"/>
        </w:rPr>
        <w:t>3</w:t>
      </w:r>
      <w:r w:rsidR="00477E3A" w:rsidRPr="00477E3A">
        <w:rPr>
          <w:rFonts w:ascii="Times New Roman" w:hAnsi="Times New Roman" w:cs="Times New Roman"/>
          <w:b/>
          <w:sz w:val="24"/>
          <w:szCs w:val="22"/>
          <w:vertAlign w:val="superscript"/>
        </w:rPr>
        <w:t>2-</w:t>
      </w:r>
      <w:r w:rsidR="00477E3A" w:rsidRPr="00477E3A">
        <w:rPr>
          <w:rFonts w:ascii="Times New Roman" w:hAnsi="Times New Roman" w:cs="Times New Roman"/>
          <w:b/>
          <w:sz w:val="24"/>
          <w:szCs w:val="22"/>
        </w:rPr>
        <w:t>) in LDH-CO</w:t>
      </w:r>
      <w:r w:rsidR="00477E3A" w:rsidRPr="00477E3A">
        <w:rPr>
          <w:rFonts w:ascii="Times New Roman" w:hAnsi="Times New Roman" w:cs="Times New Roman"/>
          <w:b/>
          <w:sz w:val="24"/>
          <w:szCs w:val="22"/>
          <w:vertAlign w:val="subscript"/>
        </w:rPr>
        <w:t>3</w:t>
      </w:r>
      <w:r w:rsidR="00477E3A" w:rsidRPr="00477E3A">
        <w:rPr>
          <w:rFonts w:ascii="Times New Roman" w:hAnsi="Times New Roman" w:cs="Times New Roman"/>
          <w:b/>
          <w:sz w:val="24"/>
          <w:szCs w:val="22"/>
        </w:rPr>
        <w:t>, WLDH-CO</w:t>
      </w:r>
      <w:r w:rsidR="00477E3A" w:rsidRPr="00477E3A">
        <w:rPr>
          <w:rFonts w:ascii="Times New Roman" w:hAnsi="Times New Roman" w:cs="Times New Roman"/>
          <w:b/>
          <w:sz w:val="24"/>
          <w:szCs w:val="22"/>
          <w:vertAlign w:val="subscript"/>
        </w:rPr>
        <w:t>3</w:t>
      </w:r>
      <w:r w:rsidR="00477E3A" w:rsidRPr="00477E3A">
        <w:rPr>
          <w:rFonts w:ascii="Times New Roman" w:hAnsi="Times New Roman" w:cs="Times New Roman"/>
          <w:b/>
          <w:sz w:val="24"/>
          <w:szCs w:val="22"/>
        </w:rPr>
        <w:t>, and DLDH-CO</w:t>
      </w:r>
      <w:r w:rsidR="00477E3A" w:rsidRPr="00477E3A">
        <w:rPr>
          <w:rFonts w:ascii="Times New Roman" w:hAnsi="Times New Roman" w:cs="Times New Roman"/>
          <w:b/>
          <w:sz w:val="24"/>
          <w:szCs w:val="22"/>
          <w:vertAlign w:val="subscript"/>
        </w:rPr>
        <w:t>3</w:t>
      </w:r>
      <w:r w:rsidR="00477E3A" w:rsidRPr="00477E3A">
        <w:rPr>
          <w:rFonts w:ascii="Times New Roman" w:hAnsi="Times New Roman" w:cs="Times New Roman"/>
          <w:b/>
          <w:sz w:val="24"/>
          <w:szCs w:val="22"/>
        </w:rPr>
        <w:t>. (a) The residual F</w:t>
      </w:r>
      <w:r w:rsidR="00477E3A" w:rsidRPr="00295A55">
        <w:rPr>
          <w:rFonts w:ascii="Times New Roman" w:hAnsi="Times New Roman" w:cs="Times New Roman"/>
          <w:b/>
          <w:sz w:val="24"/>
          <w:szCs w:val="22"/>
          <w:vertAlign w:val="superscript"/>
        </w:rPr>
        <w:t>-</w:t>
      </w:r>
      <w:r w:rsidR="00477E3A" w:rsidRPr="00477E3A">
        <w:rPr>
          <w:rFonts w:ascii="Times New Roman" w:hAnsi="Times New Roman" w:cs="Times New Roman"/>
          <w:b/>
          <w:sz w:val="24"/>
          <w:szCs w:val="22"/>
        </w:rPr>
        <w:t xml:space="preserve"> ion concentration in the NaF solution changes with reaction time, and (b) the collected CO</w:t>
      </w:r>
      <w:r w:rsidR="00477E3A" w:rsidRPr="00477E3A">
        <w:rPr>
          <w:rFonts w:ascii="Times New Roman" w:hAnsi="Times New Roman" w:cs="Times New Roman"/>
          <w:b/>
          <w:sz w:val="24"/>
          <w:szCs w:val="22"/>
          <w:vertAlign w:val="subscript"/>
        </w:rPr>
        <w:t>2</w:t>
      </w:r>
      <w:r w:rsidR="00477E3A" w:rsidRPr="00477E3A">
        <w:rPr>
          <w:rFonts w:ascii="Times New Roman" w:hAnsi="Times New Roman" w:cs="Times New Roman"/>
          <w:b/>
          <w:sz w:val="24"/>
          <w:szCs w:val="22"/>
        </w:rPr>
        <w:t xml:space="preserve"> (g) concentration under argon flow at room temperature.   </w:t>
      </w:r>
    </w:p>
    <w:p w:rsidR="00637E0D" w:rsidRPr="00637E0D" w:rsidRDefault="00637E0D" w:rsidP="007D56D1">
      <w:pPr>
        <w:pStyle w:val="a3"/>
        <w:adjustRightInd w:val="0"/>
        <w:snapToGrid w:val="0"/>
        <w:spacing w:line="480" w:lineRule="auto"/>
        <w:ind w:rightChars="35" w:right="84" w:firstLineChars="200" w:firstLine="480"/>
        <w:jc w:val="both"/>
        <w:rPr>
          <w:rFonts w:ascii="Times New Roman" w:hAnsi="Times New Roman" w:cs="Times New Roman"/>
          <w:sz w:val="24"/>
          <w:szCs w:val="22"/>
        </w:rPr>
      </w:pPr>
      <w:r w:rsidRPr="00637E0D">
        <w:rPr>
          <w:rFonts w:ascii="Times New Roman" w:hAnsi="Times New Roman" w:cs="Times New Roman"/>
          <w:sz w:val="24"/>
          <w:szCs w:val="22"/>
        </w:rPr>
        <w:t xml:space="preserve">During the fluoridization, the fluoride concentration of the solution was </w:t>
      </w:r>
      <w:r w:rsidRPr="00637E0D">
        <w:rPr>
          <w:rFonts w:ascii="Times New Roman" w:hAnsi="Times New Roman" w:cs="Times New Roman"/>
          <w:sz w:val="24"/>
          <w:szCs w:val="22"/>
        </w:rPr>
        <w:lastRenderedPageBreak/>
        <w:t xml:space="preserve">recorded (in the </w:t>
      </w:r>
      <w:r w:rsidRPr="00B87FD2">
        <w:rPr>
          <w:rFonts w:ascii="Times New Roman" w:hAnsi="Times New Roman" w:cs="Times New Roman"/>
          <w:b/>
          <w:sz w:val="24"/>
          <w:szCs w:val="22"/>
        </w:rPr>
        <w:t xml:space="preserve">Fig. </w:t>
      </w:r>
      <w:r w:rsidRPr="00B87FD2">
        <w:rPr>
          <w:rFonts w:ascii="Times New Roman" w:hAnsi="Times New Roman" w:cs="Times New Roman" w:hint="eastAsia"/>
          <w:b/>
          <w:sz w:val="24"/>
          <w:szCs w:val="22"/>
        </w:rPr>
        <w:t>S</w:t>
      </w:r>
      <w:r w:rsidRPr="00B87FD2">
        <w:rPr>
          <w:rFonts w:ascii="Times New Roman" w:hAnsi="Times New Roman" w:cs="Times New Roman"/>
          <w:b/>
          <w:sz w:val="24"/>
          <w:szCs w:val="22"/>
        </w:rPr>
        <w:t>2a</w:t>
      </w:r>
      <w:r w:rsidRPr="00637E0D">
        <w:rPr>
          <w:rFonts w:ascii="Times New Roman" w:hAnsi="Times New Roman" w:cs="Times New Roman"/>
          <w:sz w:val="24"/>
          <w:szCs w:val="22"/>
        </w:rPr>
        <w:t>). The initial concentration of the fluoride was about 1000 ppm, which decreased with increasing time of immersion and remained almost unchanged around 100 ppm for the LDH powder in each particle size. Among them, DLDH-CO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reached equilibrium after 20 min similar to WLDH-CO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quicker than 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reaching equilibrium after 40 min. It could be speculated that the agglomerated rosette-shaped particles led to the insufficient contact area and caused fluoride absorption slower.</w:t>
      </w:r>
    </w:p>
    <w:p w:rsidR="00637E0D" w:rsidRPr="00637E0D" w:rsidRDefault="00637E0D" w:rsidP="00A5225C">
      <w:pPr>
        <w:pStyle w:val="a3"/>
        <w:adjustRightInd w:val="0"/>
        <w:snapToGrid w:val="0"/>
        <w:spacing w:line="480" w:lineRule="auto"/>
        <w:ind w:rightChars="35" w:right="84" w:firstLineChars="200" w:firstLine="480"/>
        <w:jc w:val="both"/>
        <w:rPr>
          <w:rFonts w:ascii="Times New Roman" w:hAnsi="Times New Roman" w:cs="Times New Roman"/>
          <w:sz w:val="24"/>
          <w:szCs w:val="22"/>
        </w:rPr>
      </w:pPr>
      <w:r w:rsidRPr="00637E0D">
        <w:rPr>
          <w:rFonts w:ascii="Times New Roman" w:hAnsi="Times New Roman" w:cs="Times New Roman"/>
          <w:sz w:val="24"/>
          <w:szCs w:val="22"/>
        </w:rPr>
        <w:t>On the other hand, the fast fluoride absorption was observed in the WLDH-CO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and the DLDH-CO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indicating that the fluoride absorption was accelerated after exfoliation of the rosette-shaped LDH. Although they exhibited the similar fluoride absorption rate, the DLDH-CO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showed comparatively higher specific surface area than the WLDH-CO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The fact could be speculated that most of the fluoride were absorbed through the plane surface of the LDH plates rather than fracture section. However, this hypothesis of absorbed mechanism related to the crystal structure of the LDH is out of the scope</w:t>
      </w:r>
      <w:r w:rsidRPr="00637E0D">
        <w:rPr>
          <w:rFonts w:ascii="Times New Roman" w:hAnsi="Times New Roman" w:cs="Times New Roman" w:hint="eastAsia"/>
          <w:sz w:val="24"/>
          <w:szCs w:val="22"/>
        </w:rPr>
        <w:t xml:space="preserve"> of</w:t>
      </w:r>
      <w:r w:rsidRPr="00637E0D">
        <w:rPr>
          <w:rFonts w:ascii="Times New Roman" w:hAnsi="Times New Roman" w:cs="Times New Roman"/>
          <w:sz w:val="24"/>
          <w:szCs w:val="22"/>
        </w:rPr>
        <w:t xml:space="preserve"> this research, which was not discussed detail here. During the fluoridized treatment, amounts of releasing CO</w:t>
      </w:r>
      <w:r w:rsidRPr="00B87FD2">
        <w:rPr>
          <w:rFonts w:ascii="Times New Roman" w:hAnsi="Times New Roman" w:cs="Times New Roman"/>
          <w:sz w:val="24"/>
          <w:szCs w:val="22"/>
          <w:vertAlign w:val="subscript"/>
        </w:rPr>
        <w:t>2</w:t>
      </w:r>
      <w:r w:rsidRPr="00637E0D">
        <w:rPr>
          <w:rFonts w:ascii="Times New Roman" w:hAnsi="Times New Roman" w:cs="Times New Roman"/>
          <w:sz w:val="24"/>
          <w:szCs w:val="22"/>
        </w:rPr>
        <w:t xml:space="preserve"> (g) were measured, which have been commonly used to confirm the deintercalation of the CO</w:t>
      </w:r>
      <w:r w:rsidRPr="00B87FD2">
        <w:rPr>
          <w:rFonts w:ascii="Times New Roman" w:hAnsi="Times New Roman" w:cs="Times New Roman"/>
          <w:sz w:val="24"/>
          <w:szCs w:val="22"/>
          <w:vertAlign w:val="subscript"/>
        </w:rPr>
        <w:t>3</w:t>
      </w:r>
      <w:r w:rsidRPr="00B87FD2">
        <w:rPr>
          <w:rFonts w:ascii="Times New Roman" w:hAnsi="Times New Roman" w:cs="Times New Roman"/>
          <w:sz w:val="24"/>
          <w:szCs w:val="22"/>
          <w:vertAlign w:val="superscript"/>
        </w:rPr>
        <w:t>2-</w:t>
      </w:r>
      <w:r w:rsidR="00295A55">
        <w:rPr>
          <w:rFonts w:ascii="Times New Roman" w:hAnsi="Times New Roman" w:cs="Times New Roman"/>
          <w:sz w:val="24"/>
          <w:szCs w:val="22"/>
        </w:rPr>
        <w:t xml:space="preserve"> in the LDH materials [1</w:t>
      </w:r>
      <w:r w:rsidRPr="00637E0D">
        <w:rPr>
          <w:rFonts w:ascii="Times New Roman" w:hAnsi="Times New Roman" w:cs="Times New Roman"/>
          <w:sz w:val="24"/>
          <w:szCs w:val="22"/>
        </w:rPr>
        <w:t xml:space="preserve">]. The data (in the </w:t>
      </w:r>
      <w:r w:rsidRPr="00B87FD2">
        <w:rPr>
          <w:rFonts w:ascii="Times New Roman" w:hAnsi="Times New Roman" w:cs="Times New Roman"/>
          <w:b/>
          <w:sz w:val="24"/>
          <w:szCs w:val="22"/>
        </w:rPr>
        <w:t xml:space="preserve">Fig. </w:t>
      </w:r>
      <w:r w:rsidRPr="00B87FD2">
        <w:rPr>
          <w:rFonts w:ascii="Times New Roman" w:hAnsi="Times New Roman" w:cs="Times New Roman" w:hint="eastAsia"/>
          <w:b/>
          <w:sz w:val="24"/>
          <w:szCs w:val="22"/>
        </w:rPr>
        <w:t>S</w:t>
      </w:r>
      <w:r w:rsidRPr="00B87FD2">
        <w:rPr>
          <w:rFonts w:ascii="Times New Roman" w:hAnsi="Times New Roman" w:cs="Times New Roman"/>
          <w:b/>
          <w:sz w:val="24"/>
          <w:szCs w:val="22"/>
        </w:rPr>
        <w:t>2b</w:t>
      </w:r>
      <w:r w:rsidRPr="00637E0D">
        <w:rPr>
          <w:rFonts w:ascii="Times New Roman" w:hAnsi="Times New Roman" w:cs="Times New Roman"/>
          <w:sz w:val="24"/>
          <w:szCs w:val="22"/>
        </w:rPr>
        <w:t>) reveal that the amounts of the CO</w:t>
      </w:r>
      <w:r w:rsidRPr="00B87FD2">
        <w:rPr>
          <w:rFonts w:ascii="Times New Roman" w:hAnsi="Times New Roman" w:cs="Times New Roman"/>
          <w:sz w:val="24"/>
          <w:szCs w:val="22"/>
          <w:vertAlign w:val="subscript"/>
        </w:rPr>
        <w:t>2</w:t>
      </w:r>
      <w:r w:rsidRPr="00637E0D">
        <w:rPr>
          <w:rFonts w:ascii="Times New Roman" w:hAnsi="Times New Roman" w:cs="Times New Roman"/>
          <w:sz w:val="24"/>
          <w:szCs w:val="22"/>
        </w:rPr>
        <w:t>(g) were increased in initial 5 minutes with peak values around 1300-1350 ppm for the WLDH-CO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and the DLDH-CO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the concentration was then decreased and tend to steady. The LDH-CO</w:t>
      </w:r>
      <w:r w:rsidRPr="00B87FD2">
        <w:rPr>
          <w:rFonts w:ascii="Times New Roman" w:hAnsi="Times New Roman" w:cs="Times New Roman"/>
          <w:sz w:val="24"/>
          <w:szCs w:val="22"/>
          <w:vertAlign w:val="subscript"/>
        </w:rPr>
        <w:t>3</w:t>
      </w:r>
      <w:r w:rsidRPr="00637E0D">
        <w:rPr>
          <w:rFonts w:ascii="Times New Roman" w:hAnsi="Times New Roman" w:cs="Times New Roman"/>
          <w:sz w:val="24"/>
          <w:szCs w:val="22"/>
        </w:rPr>
        <w:t xml:space="preserve"> showed a slowly increas</w:t>
      </w:r>
      <w:r w:rsidRPr="00637E0D">
        <w:rPr>
          <w:rFonts w:ascii="Times New Roman" w:hAnsi="Times New Roman" w:cs="Times New Roman" w:hint="eastAsia"/>
          <w:sz w:val="24"/>
          <w:szCs w:val="22"/>
        </w:rPr>
        <w:t>ing</w:t>
      </w:r>
      <w:r w:rsidRPr="00637E0D">
        <w:rPr>
          <w:rFonts w:ascii="Times New Roman" w:hAnsi="Times New Roman" w:cs="Times New Roman"/>
          <w:sz w:val="24"/>
          <w:szCs w:val="22"/>
        </w:rPr>
        <w:t xml:space="preserve"> trend of the concentration and remained </w:t>
      </w:r>
      <w:r w:rsidRPr="00637E0D">
        <w:rPr>
          <w:rFonts w:ascii="Times New Roman" w:hAnsi="Times New Roman" w:cs="Times New Roman" w:hint="eastAsia"/>
          <w:sz w:val="24"/>
          <w:szCs w:val="22"/>
        </w:rPr>
        <w:t xml:space="preserve">at </w:t>
      </w:r>
      <w:r w:rsidRPr="00637E0D">
        <w:rPr>
          <w:rFonts w:ascii="Times New Roman" w:hAnsi="Times New Roman" w:cs="Times New Roman"/>
          <w:sz w:val="24"/>
          <w:szCs w:val="22"/>
        </w:rPr>
        <w:t>around 300-400 ppm for more than 10 minutes, and then decrease to a steady value. These results are in agreement with the results of the F</w:t>
      </w:r>
      <w:r w:rsidRPr="00A07ABD">
        <w:rPr>
          <w:rFonts w:ascii="Times New Roman" w:hAnsi="Times New Roman" w:cs="Times New Roman"/>
          <w:sz w:val="24"/>
          <w:szCs w:val="22"/>
          <w:vertAlign w:val="superscript"/>
        </w:rPr>
        <w:t>-</w:t>
      </w:r>
      <w:r w:rsidRPr="00637E0D">
        <w:rPr>
          <w:rFonts w:ascii="Times New Roman" w:hAnsi="Times New Roman" w:cs="Times New Roman"/>
          <w:sz w:val="24"/>
          <w:szCs w:val="22"/>
        </w:rPr>
        <w:t xml:space="preserve"> concentration curve indicating the fact of ion exchang</w:t>
      </w:r>
      <w:r w:rsidRPr="00637E0D">
        <w:rPr>
          <w:rFonts w:ascii="Times New Roman" w:hAnsi="Times New Roman" w:cs="Times New Roman" w:hint="eastAsia"/>
          <w:sz w:val="24"/>
          <w:szCs w:val="22"/>
        </w:rPr>
        <w:t>e</w:t>
      </w:r>
      <w:r w:rsidRPr="00637E0D">
        <w:rPr>
          <w:rFonts w:ascii="Times New Roman" w:hAnsi="Times New Roman" w:cs="Times New Roman"/>
          <w:sz w:val="24"/>
          <w:szCs w:val="22"/>
        </w:rPr>
        <w:t xml:space="preserve">.  </w:t>
      </w:r>
    </w:p>
    <w:p w:rsidR="00637E0D" w:rsidRDefault="00637E0D" w:rsidP="00637E0D">
      <w:pPr>
        <w:jc w:val="center"/>
      </w:pPr>
    </w:p>
    <w:p w:rsidR="00B87FD2" w:rsidRDefault="00B87FD2" w:rsidP="00637E0D">
      <w:pPr>
        <w:jc w:val="center"/>
      </w:pPr>
    </w:p>
    <w:p w:rsidR="00B87FD2" w:rsidRDefault="00B87FD2" w:rsidP="00637E0D">
      <w:pPr>
        <w:jc w:val="center"/>
      </w:pPr>
    </w:p>
    <w:p w:rsidR="00B87FD2" w:rsidRDefault="00B87FD2" w:rsidP="00637E0D">
      <w:pPr>
        <w:jc w:val="center"/>
      </w:pPr>
    </w:p>
    <w:p w:rsidR="00637E0D" w:rsidRDefault="00637E0D" w:rsidP="00B457BE"/>
    <w:p w:rsidR="00637E0D" w:rsidRDefault="00637E0D" w:rsidP="00637E0D">
      <w:pPr>
        <w:jc w:val="center"/>
      </w:pPr>
      <w:r w:rsidRPr="0000440A">
        <w:rPr>
          <w:rFonts w:ascii="Times New Roman" w:hAnsi="Times New Roman" w:cs="Times New Roman"/>
          <w:noProof/>
          <w:szCs w:val="24"/>
        </w:rPr>
        <w:drawing>
          <wp:inline distT="0" distB="0" distL="0" distR="0" wp14:anchorId="35EC1702" wp14:editId="3D3B82B1">
            <wp:extent cx="5039360" cy="3429341"/>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a:extLst>
                        <a:ext uri="{28A0092B-C50C-407E-A947-70E740481C1C}">
                          <a14:useLocalDpi xmlns:a14="http://schemas.microsoft.com/office/drawing/2010/main" val="0"/>
                        </a:ext>
                      </a:extLst>
                    </a:blip>
                    <a:srcRect t="3053"/>
                    <a:stretch/>
                  </pic:blipFill>
                  <pic:spPr bwMode="auto">
                    <a:xfrm>
                      <a:off x="0" y="0"/>
                      <a:ext cx="5039360" cy="3429341"/>
                    </a:xfrm>
                    <a:prstGeom prst="rect">
                      <a:avLst/>
                    </a:prstGeom>
                    <a:noFill/>
                    <a:ln>
                      <a:noFill/>
                    </a:ln>
                    <a:extLst>
                      <a:ext uri="{53640926-AAD7-44D8-BBD7-CCE9431645EC}">
                        <a14:shadowObscured xmlns:a14="http://schemas.microsoft.com/office/drawing/2010/main"/>
                      </a:ext>
                    </a:extLst>
                  </pic:spPr>
                </pic:pic>
              </a:graphicData>
            </a:graphic>
          </wp:inline>
        </w:drawing>
      </w:r>
    </w:p>
    <w:p w:rsidR="00F50D61" w:rsidRPr="009B2F1B" w:rsidRDefault="00637E0D" w:rsidP="009B2F1B">
      <w:pPr>
        <w:pStyle w:val="a3"/>
        <w:adjustRightInd w:val="0"/>
        <w:snapToGrid w:val="0"/>
        <w:spacing w:line="480" w:lineRule="auto"/>
        <w:jc w:val="both"/>
        <w:rPr>
          <w:rFonts w:ascii="Times New Roman" w:hAnsi="Times New Roman" w:cs="Times New Roman"/>
          <w:b/>
          <w:sz w:val="24"/>
          <w:szCs w:val="24"/>
        </w:rPr>
      </w:pPr>
      <w:bookmarkStart w:id="3" w:name="_Toc513813269"/>
      <w:bookmarkStart w:id="4" w:name="_Toc518412875"/>
      <w:r w:rsidRPr="0000440A">
        <w:rPr>
          <w:rFonts w:ascii="Times New Roman" w:hAnsi="Times New Roman" w:cs="Times New Roman"/>
          <w:b/>
          <w:sz w:val="24"/>
          <w:szCs w:val="24"/>
        </w:rPr>
        <w:t xml:space="preserve">Fig. </w:t>
      </w:r>
      <w:r>
        <w:rPr>
          <w:rFonts w:ascii="Times New Roman" w:hAnsi="Times New Roman" w:cs="Times New Roman"/>
          <w:b/>
          <w:sz w:val="24"/>
          <w:szCs w:val="24"/>
        </w:rPr>
        <w:t>S</w:t>
      </w:r>
      <w:r w:rsidRPr="0000440A">
        <w:rPr>
          <w:rFonts w:ascii="Times New Roman" w:hAnsi="Times New Roman" w:cs="Times New Roman"/>
          <w:b/>
          <w:sz w:val="24"/>
          <w:szCs w:val="24"/>
        </w:rPr>
        <w:fldChar w:fldCharType="begin"/>
      </w:r>
      <w:r w:rsidRPr="004D22CB">
        <w:rPr>
          <w:rFonts w:ascii="Times New Roman" w:hAnsi="Times New Roman" w:cs="Times New Roman"/>
          <w:b/>
          <w:sz w:val="24"/>
          <w:szCs w:val="24"/>
        </w:rPr>
        <w:instrText xml:space="preserve"> SEQ Fig. \* ARABIC </w:instrText>
      </w:r>
      <w:r w:rsidRPr="0000440A">
        <w:rPr>
          <w:rFonts w:ascii="Times New Roman" w:hAnsi="Times New Roman" w:cs="Times New Roman"/>
          <w:b/>
          <w:sz w:val="24"/>
          <w:szCs w:val="24"/>
        </w:rPr>
        <w:fldChar w:fldCharType="separate"/>
      </w:r>
      <w:r w:rsidR="00A5225C">
        <w:rPr>
          <w:rFonts w:ascii="Times New Roman" w:hAnsi="Times New Roman" w:cs="Times New Roman"/>
          <w:b/>
          <w:noProof/>
          <w:sz w:val="24"/>
          <w:szCs w:val="24"/>
        </w:rPr>
        <w:t>3</w:t>
      </w:r>
      <w:r w:rsidRPr="0000440A">
        <w:rPr>
          <w:rFonts w:ascii="Times New Roman" w:hAnsi="Times New Roman" w:cs="Times New Roman"/>
          <w:b/>
          <w:sz w:val="24"/>
          <w:szCs w:val="24"/>
        </w:rPr>
        <w:fldChar w:fldCharType="end"/>
      </w:r>
      <w:r w:rsidRPr="0000440A">
        <w:rPr>
          <w:rFonts w:ascii="Times New Roman" w:hAnsi="Times New Roman" w:cs="Times New Roman"/>
          <w:b/>
          <w:sz w:val="24"/>
          <w:szCs w:val="24"/>
        </w:rPr>
        <w:t xml:space="preserve"> </w:t>
      </w:r>
      <w:r w:rsidRPr="00F50D61">
        <w:rPr>
          <w:rFonts w:ascii="Times New Roman" w:hAnsi="Times New Roman" w:cs="Times New Roman"/>
          <w:b/>
          <w:sz w:val="24"/>
          <w:szCs w:val="24"/>
        </w:rPr>
        <w:t>–</w:t>
      </w:r>
      <w:r w:rsidR="00F50D61" w:rsidRPr="00F50D61">
        <w:rPr>
          <w:rFonts w:ascii="Times New Roman" w:hAnsi="Times New Roman" w:cs="Times New Roman"/>
          <w:b/>
          <w:sz w:val="24"/>
          <w:szCs w:val="24"/>
        </w:rPr>
        <w:t>XRD patterns of LDH-CO</w:t>
      </w:r>
      <w:r w:rsidR="00F50D61" w:rsidRPr="00F50D61">
        <w:rPr>
          <w:rFonts w:ascii="Times New Roman" w:hAnsi="Times New Roman" w:cs="Times New Roman"/>
          <w:b/>
          <w:sz w:val="24"/>
          <w:szCs w:val="24"/>
          <w:vertAlign w:val="subscript"/>
        </w:rPr>
        <w:t>3</w:t>
      </w:r>
      <w:r w:rsidR="00F50D61" w:rsidRPr="00F50D61">
        <w:rPr>
          <w:rFonts w:ascii="Times New Roman" w:hAnsi="Times New Roman" w:cs="Times New Roman"/>
          <w:b/>
          <w:sz w:val="24"/>
          <w:szCs w:val="24"/>
        </w:rPr>
        <w:t xml:space="preserve"> (a), LDH-F (b), WLDH-CO</w:t>
      </w:r>
      <w:r w:rsidR="00F50D61" w:rsidRPr="00F50D61">
        <w:rPr>
          <w:rFonts w:ascii="Times New Roman" w:hAnsi="Times New Roman" w:cs="Times New Roman"/>
          <w:b/>
          <w:sz w:val="24"/>
          <w:szCs w:val="24"/>
          <w:vertAlign w:val="subscript"/>
        </w:rPr>
        <w:t>3</w:t>
      </w:r>
      <w:r w:rsidR="00F50D61" w:rsidRPr="00F50D61">
        <w:rPr>
          <w:rFonts w:ascii="Times New Roman" w:hAnsi="Times New Roman" w:cs="Times New Roman"/>
          <w:b/>
          <w:sz w:val="24"/>
          <w:szCs w:val="24"/>
        </w:rPr>
        <w:t xml:space="preserve"> (c), WLDH-F (d), DLDH-CO</w:t>
      </w:r>
      <w:r w:rsidR="00F50D61" w:rsidRPr="00F50D61">
        <w:rPr>
          <w:rFonts w:ascii="Times New Roman" w:hAnsi="Times New Roman" w:cs="Times New Roman"/>
          <w:b/>
          <w:sz w:val="24"/>
          <w:szCs w:val="24"/>
          <w:vertAlign w:val="subscript"/>
        </w:rPr>
        <w:t>3</w:t>
      </w:r>
      <w:r w:rsidR="00F50D61" w:rsidRPr="00F50D61">
        <w:rPr>
          <w:rFonts w:ascii="Times New Roman" w:hAnsi="Times New Roman" w:cs="Times New Roman"/>
          <w:b/>
          <w:sz w:val="24"/>
          <w:szCs w:val="24"/>
        </w:rPr>
        <w:t xml:space="preserve"> (e) and DLDH-F (f).</w:t>
      </w:r>
    </w:p>
    <w:p w:rsidR="00637E0D" w:rsidRDefault="00637E0D" w:rsidP="009B2F1B">
      <w:pPr>
        <w:pStyle w:val="a3"/>
        <w:adjustRightInd w:val="0"/>
        <w:snapToGrid w:val="0"/>
        <w:spacing w:line="480" w:lineRule="auto"/>
        <w:ind w:firstLineChars="200" w:firstLine="480"/>
        <w:jc w:val="both"/>
        <w:rPr>
          <w:rFonts w:ascii="Times New Roman" w:hAnsi="Times New Roman" w:cs="Times New Roman"/>
          <w:sz w:val="24"/>
          <w:szCs w:val="24"/>
        </w:rPr>
      </w:pPr>
      <w:r w:rsidRPr="003C1A5B">
        <w:rPr>
          <w:rFonts w:ascii="Times New Roman" w:hAnsi="Times New Roman" w:cs="Times New Roman"/>
          <w:sz w:val="24"/>
          <w:szCs w:val="24"/>
        </w:rPr>
        <w:t>XRD patterns of LDH-CO</w:t>
      </w:r>
      <w:r w:rsidRPr="003C1A5B">
        <w:rPr>
          <w:rFonts w:ascii="Times New Roman" w:hAnsi="Times New Roman" w:cs="Times New Roman"/>
          <w:sz w:val="24"/>
          <w:szCs w:val="24"/>
          <w:vertAlign w:val="subscript"/>
        </w:rPr>
        <w:t>3</w:t>
      </w:r>
      <w:r w:rsidRPr="003C1A5B">
        <w:rPr>
          <w:rFonts w:ascii="Times New Roman" w:hAnsi="Times New Roman" w:cs="Times New Roman"/>
          <w:sz w:val="24"/>
          <w:szCs w:val="24"/>
        </w:rPr>
        <w:t xml:space="preserve"> (a), LDH-F (b), WLDH-CO</w:t>
      </w:r>
      <w:r w:rsidRPr="003C1A5B">
        <w:rPr>
          <w:rFonts w:ascii="Times New Roman" w:hAnsi="Times New Roman" w:cs="Times New Roman"/>
          <w:sz w:val="24"/>
          <w:szCs w:val="24"/>
          <w:vertAlign w:val="subscript"/>
        </w:rPr>
        <w:t>3</w:t>
      </w:r>
      <w:r w:rsidRPr="003C1A5B">
        <w:rPr>
          <w:rFonts w:ascii="Times New Roman" w:hAnsi="Times New Roman" w:cs="Times New Roman"/>
          <w:sz w:val="24"/>
          <w:szCs w:val="24"/>
        </w:rPr>
        <w:t xml:space="preserve"> (c), WLDH-F (d), DLDH-CO</w:t>
      </w:r>
      <w:r w:rsidRPr="003C1A5B">
        <w:rPr>
          <w:rFonts w:ascii="Times New Roman" w:hAnsi="Times New Roman" w:cs="Times New Roman"/>
          <w:sz w:val="24"/>
          <w:szCs w:val="24"/>
          <w:vertAlign w:val="subscript"/>
        </w:rPr>
        <w:t>3</w:t>
      </w:r>
      <w:r w:rsidRPr="003C1A5B">
        <w:rPr>
          <w:rFonts w:ascii="Times New Roman" w:hAnsi="Times New Roman" w:cs="Times New Roman"/>
          <w:sz w:val="24"/>
          <w:szCs w:val="24"/>
        </w:rPr>
        <w:t xml:space="preserve"> (e) and DLDH-F (f).</w:t>
      </w:r>
      <w:bookmarkEnd w:id="3"/>
      <w:bookmarkEnd w:id="4"/>
      <w:r w:rsidRPr="003C1A5B">
        <w:rPr>
          <w:rFonts w:ascii="Times New Roman" w:hAnsi="Times New Roman" w:cs="Times New Roman"/>
          <w:sz w:val="24"/>
          <w:szCs w:val="24"/>
        </w:rPr>
        <w:t xml:space="preserve"> The patterns demonstrated that the LDH has a typical hydrotalcite-like structure before </w:t>
      </w:r>
      <w:r w:rsidRPr="003C1A5B">
        <w:rPr>
          <w:rFonts w:ascii="Times New Roman" w:hAnsi="Times New Roman" w:cs="Times New Roman"/>
          <w:noProof/>
          <w:sz w:val="24"/>
          <w:szCs w:val="24"/>
        </w:rPr>
        <w:t>fluoridized</w:t>
      </w:r>
      <w:r w:rsidRPr="003C1A5B">
        <w:rPr>
          <w:rFonts w:ascii="Times New Roman" w:hAnsi="Times New Roman" w:cs="Times New Roman"/>
          <w:sz w:val="24"/>
          <w:szCs w:val="24"/>
        </w:rPr>
        <w:t xml:space="preserve"> treatment. Among them, peak broadening </w:t>
      </w:r>
      <w:r w:rsidRPr="003C1A5B">
        <w:rPr>
          <w:rFonts w:ascii="Times New Roman" w:hAnsi="Times New Roman" w:cs="Times New Roman"/>
          <w:noProof/>
          <w:sz w:val="24"/>
          <w:szCs w:val="24"/>
        </w:rPr>
        <w:t>were observed</w:t>
      </w:r>
      <w:r w:rsidRPr="003C1A5B">
        <w:rPr>
          <w:rFonts w:ascii="Times New Roman" w:hAnsi="Times New Roman" w:cs="Times New Roman"/>
          <w:sz w:val="24"/>
          <w:szCs w:val="24"/>
        </w:rPr>
        <w:t xml:space="preserve"> in those treated with wet or dry ball milling due to </w:t>
      </w:r>
      <w:r>
        <w:rPr>
          <w:rFonts w:ascii="Times New Roman" w:hAnsi="Times New Roman" w:cs="Times New Roman"/>
          <w:sz w:val="24"/>
          <w:szCs w:val="24"/>
        </w:rPr>
        <w:t xml:space="preserve">the </w:t>
      </w:r>
      <w:r w:rsidRPr="003C1A5B">
        <w:rPr>
          <w:rFonts w:ascii="Times New Roman" w:hAnsi="Times New Roman" w:cs="Times New Roman"/>
          <w:noProof/>
          <w:sz w:val="24"/>
          <w:szCs w:val="24"/>
        </w:rPr>
        <w:t>refinement</w:t>
      </w:r>
      <w:r w:rsidRPr="003C1A5B">
        <w:rPr>
          <w:rFonts w:ascii="Times New Roman" w:hAnsi="Times New Roman" w:cs="Times New Roman"/>
          <w:sz w:val="24"/>
          <w:szCs w:val="24"/>
        </w:rPr>
        <w:t xml:space="preserve"> of the particles. After fluoride absorption, lower crystallinities </w:t>
      </w:r>
      <w:r w:rsidRPr="003C1A5B">
        <w:rPr>
          <w:rFonts w:ascii="Times New Roman" w:hAnsi="Times New Roman" w:cs="Times New Roman"/>
          <w:noProof/>
          <w:sz w:val="24"/>
          <w:szCs w:val="24"/>
        </w:rPr>
        <w:t>were</w:t>
      </w:r>
      <w:r w:rsidRPr="003C1A5B">
        <w:rPr>
          <w:rFonts w:ascii="Times New Roman" w:hAnsi="Times New Roman" w:cs="Times New Roman"/>
          <w:sz w:val="24"/>
          <w:szCs w:val="24"/>
        </w:rPr>
        <w:t xml:space="preserve"> observed in </w:t>
      </w:r>
      <w:r w:rsidRPr="003C1A5B">
        <w:rPr>
          <w:rFonts w:ascii="Times New Roman" w:hAnsi="Times New Roman" w:cs="Times New Roman"/>
          <w:noProof/>
          <w:sz w:val="24"/>
          <w:szCs w:val="24"/>
        </w:rPr>
        <w:t>each</w:t>
      </w:r>
      <w:r w:rsidRPr="003C1A5B">
        <w:rPr>
          <w:rFonts w:ascii="Times New Roman" w:hAnsi="Times New Roman" w:cs="Times New Roman"/>
          <w:sz w:val="24"/>
          <w:szCs w:val="24"/>
        </w:rPr>
        <w:t xml:space="preserve"> sample, which </w:t>
      </w:r>
      <w:r w:rsidRPr="003C1A5B">
        <w:rPr>
          <w:rFonts w:ascii="Times New Roman" w:hAnsi="Times New Roman" w:cs="Times New Roman"/>
          <w:noProof/>
          <w:sz w:val="24"/>
          <w:szCs w:val="24"/>
        </w:rPr>
        <w:t>was resulted</w:t>
      </w:r>
      <w:r w:rsidRPr="003C1A5B">
        <w:rPr>
          <w:rFonts w:ascii="Times New Roman" w:hAnsi="Times New Roman" w:cs="Times New Roman"/>
          <w:sz w:val="24"/>
          <w:szCs w:val="24"/>
        </w:rPr>
        <w:t xml:space="preserve"> from degradation of the LDH </w:t>
      </w:r>
      <w:r w:rsidRPr="003C1A5B">
        <w:rPr>
          <w:rFonts w:ascii="Times New Roman" w:hAnsi="Times New Roman" w:cs="Times New Roman"/>
          <w:noProof/>
          <w:sz w:val="24"/>
          <w:szCs w:val="24"/>
        </w:rPr>
        <w:t>str</w:t>
      </w:r>
      <w:r>
        <w:rPr>
          <w:rFonts w:ascii="Times New Roman" w:hAnsi="Times New Roman" w:cs="Times New Roman"/>
          <w:noProof/>
          <w:sz w:val="24"/>
          <w:szCs w:val="24"/>
        </w:rPr>
        <w:t>uctu</w:t>
      </w:r>
      <w:r w:rsidRPr="003C1A5B">
        <w:rPr>
          <w:rFonts w:ascii="Times New Roman" w:hAnsi="Times New Roman" w:cs="Times New Roman"/>
          <w:noProof/>
          <w:sz w:val="24"/>
          <w:szCs w:val="24"/>
        </w:rPr>
        <w:t>re</w:t>
      </w:r>
      <w:r w:rsidRPr="003C1A5B">
        <w:rPr>
          <w:rFonts w:ascii="Times New Roman" w:hAnsi="Times New Roman" w:cs="Times New Roman"/>
          <w:sz w:val="24"/>
          <w:szCs w:val="24"/>
        </w:rPr>
        <w:t>. Besides, weak diffraction peaks assigned to fluoride salts (Na</w:t>
      </w:r>
      <w:r w:rsidRPr="003C1A5B">
        <w:rPr>
          <w:rFonts w:ascii="Times New Roman" w:hAnsi="Times New Roman" w:cs="Times New Roman"/>
          <w:sz w:val="24"/>
          <w:szCs w:val="24"/>
          <w:vertAlign w:val="subscript"/>
        </w:rPr>
        <w:t>3</w:t>
      </w:r>
      <w:r w:rsidRPr="003C1A5B">
        <w:rPr>
          <w:rFonts w:ascii="Times New Roman" w:hAnsi="Times New Roman" w:cs="Times New Roman"/>
          <w:sz w:val="24"/>
          <w:szCs w:val="24"/>
        </w:rPr>
        <w:t>AlF</w:t>
      </w:r>
      <w:r w:rsidRPr="003C1A5B">
        <w:rPr>
          <w:rFonts w:ascii="Times New Roman" w:hAnsi="Times New Roman" w:cs="Times New Roman"/>
          <w:sz w:val="24"/>
          <w:szCs w:val="24"/>
          <w:vertAlign w:val="subscript"/>
        </w:rPr>
        <w:t>6</w:t>
      </w:r>
      <w:r w:rsidRPr="003C1A5B">
        <w:rPr>
          <w:rFonts w:ascii="Times New Roman" w:hAnsi="Times New Roman" w:cs="Times New Roman"/>
          <w:sz w:val="24"/>
          <w:szCs w:val="24"/>
        </w:rPr>
        <w:t xml:space="preserve">) </w:t>
      </w:r>
      <w:r w:rsidRPr="003C1A5B">
        <w:rPr>
          <w:rFonts w:ascii="Times New Roman" w:hAnsi="Times New Roman" w:cs="Times New Roman"/>
          <w:noProof/>
          <w:sz w:val="24"/>
          <w:szCs w:val="24"/>
        </w:rPr>
        <w:t>was found</w:t>
      </w:r>
      <w:r w:rsidRPr="003C1A5B">
        <w:rPr>
          <w:rFonts w:ascii="Times New Roman" w:hAnsi="Times New Roman" w:cs="Times New Roman"/>
          <w:sz w:val="24"/>
          <w:szCs w:val="24"/>
        </w:rPr>
        <w:t>. The fluoride salts (Na</w:t>
      </w:r>
      <w:r w:rsidRPr="003C1A5B">
        <w:rPr>
          <w:rFonts w:ascii="Times New Roman" w:hAnsi="Times New Roman" w:cs="Times New Roman"/>
          <w:sz w:val="24"/>
          <w:szCs w:val="24"/>
          <w:vertAlign w:val="subscript"/>
        </w:rPr>
        <w:t>3</w:t>
      </w:r>
      <w:r w:rsidRPr="003C1A5B">
        <w:rPr>
          <w:rFonts w:ascii="Times New Roman" w:hAnsi="Times New Roman" w:cs="Times New Roman"/>
          <w:sz w:val="24"/>
          <w:szCs w:val="24"/>
        </w:rPr>
        <w:t>AlF</w:t>
      </w:r>
      <w:r w:rsidRPr="003C1A5B">
        <w:rPr>
          <w:rFonts w:ascii="Times New Roman" w:hAnsi="Times New Roman" w:cs="Times New Roman"/>
          <w:sz w:val="24"/>
          <w:szCs w:val="24"/>
          <w:vertAlign w:val="subscript"/>
        </w:rPr>
        <w:t>6</w:t>
      </w:r>
      <w:r w:rsidRPr="003C1A5B">
        <w:rPr>
          <w:rFonts w:ascii="Times New Roman" w:hAnsi="Times New Roman" w:cs="Times New Roman"/>
          <w:sz w:val="24"/>
          <w:szCs w:val="24"/>
        </w:rPr>
        <w:t xml:space="preserve">) have been used as a one of composition in glass ionomer (GI) for several </w:t>
      </w:r>
      <w:r w:rsidRPr="003C1A5B">
        <w:rPr>
          <w:rFonts w:ascii="Times New Roman" w:hAnsi="Times New Roman" w:cs="Times New Roman"/>
          <w:noProof/>
          <w:sz w:val="24"/>
          <w:szCs w:val="24"/>
        </w:rPr>
        <w:t>decades,</w:t>
      </w:r>
      <w:r w:rsidRPr="003C1A5B">
        <w:rPr>
          <w:rFonts w:ascii="Times New Roman" w:hAnsi="Times New Roman" w:cs="Times New Roman"/>
          <w:sz w:val="24"/>
          <w:szCs w:val="24"/>
        </w:rPr>
        <w:t xml:space="preserve"> and also </w:t>
      </w:r>
      <w:r w:rsidRPr="003C1A5B">
        <w:rPr>
          <w:rFonts w:ascii="Times New Roman" w:hAnsi="Times New Roman" w:cs="Times New Roman"/>
          <w:noProof/>
          <w:sz w:val="24"/>
          <w:szCs w:val="24"/>
        </w:rPr>
        <w:t>been used</w:t>
      </w:r>
      <w:r w:rsidRPr="003C1A5B">
        <w:rPr>
          <w:rFonts w:ascii="Times New Roman" w:hAnsi="Times New Roman" w:cs="Times New Roman"/>
          <w:sz w:val="24"/>
          <w:szCs w:val="24"/>
        </w:rPr>
        <w:t xml:space="preserve"> as a filler for some resin composites </w:t>
      </w:r>
      <w:r w:rsidRPr="003C1A5B">
        <w:rPr>
          <w:rFonts w:ascii="Times New Roman" w:hAnsi="Times New Roman" w:cs="Times New Roman"/>
          <w:sz w:val="24"/>
          <w:szCs w:val="24"/>
        </w:rPr>
        <w:fldChar w:fldCharType="begin"/>
      </w:r>
      <w:r w:rsidRPr="003C1A5B">
        <w:rPr>
          <w:rFonts w:ascii="Times New Roman" w:hAnsi="Times New Roman" w:cs="Times New Roman"/>
          <w:sz w:val="24"/>
          <w:szCs w:val="24"/>
        </w:rPr>
        <w:instrText xml:space="preserve"> ADDIN EN.CITE &lt;EndNote&gt;&lt;Cite&gt;&lt;Author&gt;Bowen&lt;/Author&gt;&lt;Year&gt;1992&lt;/Year&gt;&lt;RecNum&gt;40&lt;/RecNum&gt;&lt;DisplayText&gt;[41]&lt;/DisplayText&gt;&lt;record&gt;&lt;rec-number&gt;40&lt;/rec-number&gt;&lt;foreign-keys&gt;&lt;key app="EN" db-id="wwwftx9anzvreiesw2b5wzsffef009rx2wev" timestamp="1525869378"&gt;40&lt;/key&gt;&lt;key app="ENWeb" db-id=""&gt;0&lt;/key&gt;&lt;/foreign-keys&gt;&lt;ref-type name="Journal Article"&gt;17&lt;/ref-type&gt;&lt;contributors&gt;&lt;authors&gt;&lt;author&gt;Bowen, Rafael L., and William A.&lt;/author&gt;&lt;/authors&gt;&lt;/contributors&gt;&lt;titles&gt;&lt;title&gt;Marjenhoff. &amp;quot;Dental composites/glass ionomers: the materials&lt;/title&gt;&lt;secondary-title&gt;Advances in dental research&lt;/secondary-title&gt;&lt;/titles&gt;&lt;periodical&gt;&lt;full-title&gt;Advances in dental research&lt;/full-title&gt;&lt;/periodical&gt;&lt;pages&gt;44-49&lt;/pages&gt;&lt;volume&gt;6&lt;/volume&gt;&lt;number&gt;1&lt;/number&gt;&lt;dates&gt;&lt;year&gt;1992&lt;/year&gt;&lt;/dates&gt;&lt;urls&gt;&lt;/urls&gt;&lt;/record&gt;&lt;/Cite&gt;&lt;/EndNote&gt;</w:instrText>
      </w:r>
      <w:r w:rsidRPr="003C1A5B">
        <w:rPr>
          <w:rFonts w:ascii="Times New Roman" w:hAnsi="Times New Roman" w:cs="Times New Roman"/>
          <w:sz w:val="24"/>
          <w:szCs w:val="24"/>
        </w:rPr>
        <w:fldChar w:fldCharType="separate"/>
      </w:r>
      <w:r w:rsidR="00295A55">
        <w:rPr>
          <w:rFonts w:ascii="Times New Roman" w:hAnsi="Times New Roman" w:cs="Times New Roman"/>
          <w:noProof/>
          <w:sz w:val="24"/>
          <w:szCs w:val="24"/>
        </w:rPr>
        <w:t>[2</w:t>
      </w:r>
      <w:r w:rsidRPr="003C1A5B">
        <w:rPr>
          <w:rFonts w:ascii="Times New Roman" w:hAnsi="Times New Roman" w:cs="Times New Roman"/>
          <w:noProof/>
          <w:sz w:val="24"/>
          <w:szCs w:val="24"/>
        </w:rPr>
        <w:t>]</w:t>
      </w:r>
      <w:r w:rsidRPr="003C1A5B">
        <w:rPr>
          <w:rFonts w:ascii="Times New Roman" w:hAnsi="Times New Roman" w:cs="Times New Roman"/>
          <w:noProof/>
          <w:sz w:val="24"/>
          <w:szCs w:val="24"/>
        </w:rPr>
        <w:fldChar w:fldCharType="end"/>
      </w:r>
      <w:r w:rsidRPr="003C1A5B">
        <w:rPr>
          <w:rFonts w:ascii="Times New Roman" w:hAnsi="Times New Roman" w:cs="Times New Roman"/>
          <w:sz w:val="24"/>
          <w:szCs w:val="24"/>
        </w:rPr>
        <w:t>.</w:t>
      </w:r>
    </w:p>
    <w:p w:rsidR="00411DA8" w:rsidRDefault="00411DA8" w:rsidP="00411DA8"/>
    <w:p w:rsidR="000B6597" w:rsidRDefault="000B6597" w:rsidP="00411DA8"/>
    <w:p w:rsidR="000B6597" w:rsidRDefault="000B6597" w:rsidP="00411DA8"/>
    <w:p w:rsidR="000B6597" w:rsidRDefault="000B6597" w:rsidP="00411DA8"/>
    <w:p w:rsidR="000B6597" w:rsidRDefault="000B6597" w:rsidP="00411DA8"/>
    <w:p w:rsidR="000B6597" w:rsidRDefault="000B6597" w:rsidP="00411DA8"/>
    <w:p w:rsidR="000B6597" w:rsidRDefault="000B6597" w:rsidP="00411DA8"/>
    <w:p w:rsidR="000B6597" w:rsidRPr="000B6597" w:rsidRDefault="000B6597" w:rsidP="000B6597">
      <w:pPr>
        <w:spacing w:line="480" w:lineRule="auto"/>
        <w:rPr>
          <w:rFonts w:ascii="Times New Roman" w:hAnsi="Times New Roman" w:cs="Times New Roman"/>
          <w:b/>
        </w:rPr>
      </w:pPr>
      <w:r w:rsidRPr="000B6597">
        <w:rPr>
          <w:rFonts w:ascii="Times New Roman" w:hAnsi="Times New Roman" w:cs="Times New Roman"/>
          <w:b/>
        </w:rPr>
        <w:t>References</w:t>
      </w:r>
    </w:p>
    <w:p w:rsidR="00295A55" w:rsidRPr="00295A55" w:rsidRDefault="00295A55" w:rsidP="00F02A98">
      <w:pPr>
        <w:spacing w:line="480" w:lineRule="auto"/>
        <w:ind w:left="283" w:hangingChars="118" w:hanging="283"/>
        <w:rPr>
          <w:rFonts w:ascii="Times New Roman" w:hAnsi="Times New Roman" w:cs="Times New Roman"/>
        </w:rPr>
      </w:pPr>
      <w:r>
        <w:rPr>
          <w:rFonts w:ascii="Times New Roman" w:hAnsi="Times New Roman" w:cs="Times New Roman"/>
        </w:rPr>
        <w:t>[1</w:t>
      </w:r>
      <w:r w:rsidRPr="00295A55">
        <w:rPr>
          <w:rFonts w:ascii="Times New Roman" w:hAnsi="Times New Roman" w:cs="Times New Roman"/>
        </w:rPr>
        <w:t>] N. Iyi, H. Yamada, Efficient decarbonation of carbonate-type layered double hydroxide (CO</w:t>
      </w:r>
      <w:r w:rsidRPr="00DC12EC">
        <w:rPr>
          <w:rFonts w:ascii="Times New Roman" w:hAnsi="Times New Roman" w:cs="Times New Roman"/>
          <w:vertAlign w:val="subscript"/>
        </w:rPr>
        <w:t>3</w:t>
      </w:r>
      <w:r w:rsidRPr="00DC12EC">
        <w:rPr>
          <w:rFonts w:ascii="Times New Roman" w:hAnsi="Times New Roman" w:cs="Times New Roman"/>
          <w:vertAlign w:val="superscript"/>
        </w:rPr>
        <w:t>2−</w:t>
      </w:r>
      <w:r w:rsidRPr="00295A55">
        <w:rPr>
          <w:rFonts w:ascii="Times New Roman" w:hAnsi="Times New Roman" w:cs="Times New Roman"/>
        </w:rPr>
        <w:t>LDH) by ammonium salts in alcohol medium, Applied Clay Science 65-66 (2012) 121-127.</w:t>
      </w:r>
    </w:p>
    <w:p w:rsidR="000B6597" w:rsidRPr="000B6597" w:rsidRDefault="000B6597" w:rsidP="00F02A98">
      <w:pPr>
        <w:spacing w:line="480" w:lineRule="auto"/>
        <w:ind w:left="283" w:hangingChars="118" w:hanging="283"/>
        <w:rPr>
          <w:rFonts w:ascii="Times New Roman" w:hAnsi="Times New Roman" w:cs="Times New Roman"/>
        </w:rPr>
      </w:pPr>
      <w:r>
        <w:rPr>
          <w:rFonts w:ascii="Times New Roman" w:hAnsi="Times New Roman" w:cs="Times New Roman"/>
        </w:rPr>
        <w:t>[</w:t>
      </w:r>
      <w:r w:rsidR="00295A55">
        <w:rPr>
          <w:rFonts w:ascii="Times New Roman" w:hAnsi="Times New Roman" w:cs="Times New Roman"/>
        </w:rPr>
        <w:t>2</w:t>
      </w:r>
      <w:r w:rsidRPr="000B6597">
        <w:rPr>
          <w:rFonts w:ascii="Times New Roman" w:hAnsi="Times New Roman" w:cs="Times New Roman"/>
        </w:rPr>
        <w:t>] R.L. Bowen, and William A., Marjenhoff. "Dental composites/glass ionomers: the materials, Advances in dental research 6(1) (1992) 44-49.</w:t>
      </w:r>
    </w:p>
    <w:p w:rsidR="000B6597" w:rsidRPr="000B6597" w:rsidRDefault="000B6597" w:rsidP="00411DA8">
      <w:pPr>
        <w:rPr>
          <w:rFonts w:ascii="Times New Roman" w:hAnsi="Times New Roman" w:cs="Times New Roman"/>
        </w:rPr>
      </w:pPr>
    </w:p>
    <w:p w:rsidR="00637E0D" w:rsidRPr="00637E0D" w:rsidRDefault="00637E0D" w:rsidP="00637E0D">
      <w:pPr>
        <w:jc w:val="center"/>
      </w:pPr>
    </w:p>
    <w:sectPr w:rsidR="00637E0D" w:rsidRPr="00637E0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2E2" w:rsidRDefault="00E842E2" w:rsidP="007D56D1">
      <w:r>
        <w:separator/>
      </w:r>
    </w:p>
  </w:endnote>
  <w:endnote w:type="continuationSeparator" w:id="0">
    <w:p w:rsidR="00E842E2" w:rsidRDefault="00E842E2" w:rsidP="007D5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2E2" w:rsidRDefault="00E842E2" w:rsidP="007D56D1">
      <w:r>
        <w:separator/>
      </w:r>
    </w:p>
  </w:footnote>
  <w:footnote w:type="continuationSeparator" w:id="0">
    <w:p w:rsidR="00E842E2" w:rsidRDefault="00E842E2" w:rsidP="007D56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S2MAciEMPIyExJRyk4tbg4Mz8PpMC8FgAHZ3hOLAAAAA=="/>
  </w:docVars>
  <w:rsids>
    <w:rsidRoot w:val="008E0C01"/>
    <w:rsid w:val="000804A0"/>
    <w:rsid w:val="000B6597"/>
    <w:rsid w:val="00112B3E"/>
    <w:rsid w:val="00217FBF"/>
    <w:rsid w:val="00295A55"/>
    <w:rsid w:val="003427E4"/>
    <w:rsid w:val="00411DA8"/>
    <w:rsid w:val="004341FD"/>
    <w:rsid w:val="00477E3A"/>
    <w:rsid w:val="00637E0D"/>
    <w:rsid w:val="006778E6"/>
    <w:rsid w:val="006C0AC9"/>
    <w:rsid w:val="007525D8"/>
    <w:rsid w:val="007A12F4"/>
    <w:rsid w:val="007D56D1"/>
    <w:rsid w:val="008E0C01"/>
    <w:rsid w:val="00947B8A"/>
    <w:rsid w:val="009B2F1B"/>
    <w:rsid w:val="009E7BA3"/>
    <w:rsid w:val="00A07ABD"/>
    <w:rsid w:val="00A5225C"/>
    <w:rsid w:val="00B457BE"/>
    <w:rsid w:val="00B87FD2"/>
    <w:rsid w:val="00C74AA1"/>
    <w:rsid w:val="00D20476"/>
    <w:rsid w:val="00DC12EC"/>
    <w:rsid w:val="00E842E2"/>
    <w:rsid w:val="00EE28B5"/>
    <w:rsid w:val="00F02A98"/>
    <w:rsid w:val="00F11898"/>
    <w:rsid w:val="00F50D61"/>
    <w:rsid w:val="00F94EA3"/>
    <w:rsid w:val="00FE2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99BE64-ADF4-47CD-8785-CE8CCBA1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37E0D"/>
    <w:rPr>
      <w:sz w:val="20"/>
      <w:szCs w:val="20"/>
    </w:rPr>
  </w:style>
  <w:style w:type="paragraph" w:styleId="a4">
    <w:name w:val="Balloon Text"/>
    <w:basedOn w:val="a"/>
    <w:link w:val="a5"/>
    <w:uiPriority w:val="99"/>
    <w:semiHidden/>
    <w:unhideWhenUsed/>
    <w:rsid w:val="00A5225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5225C"/>
    <w:rPr>
      <w:rFonts w:asciiTheme="majorHAnsi" w:eastAsiaTheme="majorEastAsia" w:hAnsiTheme="majorHAnsi" w:cstheme="majorBidi"/>
      <w:sz w:val="18"/>
      <w:szCs w:val="18"/>
    </w:rPr>
  </w:style>
  <w:style w:type="paragraph" w:styleId="a6">
    <w:name w:val="header"/>
    <w:basedOn w:val="a"/>
    <w:link w:val="a7"/>
    <w:uiPriority w:val="99"/>
    <w:unhideWhenUsed/>
    <w:rsid w:val="007D56D1"/>
    <w:pPr>
      <w:tabs>
        <w:tab w:val="center" w:pos="4153"/>
        <w:tab w:val="right" w:pos="8306"/>
      </w:tabs>
      <w:snapToGrid w:val="0"/>
    </w:pPr>
    <w:rPr>
      <w:sz w:val="20"/>
      <w:szCs w:val="20"/>
    </w:rPr>
  </w:style>
  <w:style w:type="character" w:customStyle="1" w:styleId="a7">
    <w:name w:val="頁首 字元"/>
    <w:basedOn w:val="a0"/>
    <w:link w:val="a6"/>
    <w:uiPriority w:val="99"/>
    <w:rsid w:val="007D56D1"/>
    <w:rPr>
      <w:sz w:val="20"/>
      <w:szCs w:val="20"/>
    </w:rPr>
  </w:style>
  <w:style w:type="paragraph" w:styleId="a8">
    <w:name w:val="footer"/>
    <w:basedOn w:val="a"/>
    <w:link w:val="a9"/>
    <w:uiPriority w:val="99"/>
    <w:unhideWhenUsed/>
    <w:rsid w:val="007D56D1"/>
    <w:pPr>
      <w:tabs>
        <w:tab w:val="center" w:pos="4153"/>
        <w:tab w:val="right" w:pos="8306"/>
      </w:tabs>
      <w:snapToGrid w:val="0"/>
    </w:pPr>
    <w:rPr>
      <w:sz w:val="20"/>
      <w:szCs w:val="20"/>
    </w:rPr>
  </w:style>
  <w:style w:type="character" w:customStyle="1" w:styleId="a9">
    <w:name w:val="頁尾 字元"/>
    <w:basedOn w:val="a0"/>
    <w:link w:val="a8"/>
    <w:uiPriority w:val="99"/>
    <w:rsid w:val="007D56D1"/>
    <w:rPr>
      <w:sz w:val="20"/>
      <w:szCs w:val="20"/>
    </w:rPr>
  </w:style>
  <w:style w:type="paragraph" w:styleId="aa">
    <w:name w:val="No Spacing"/>
    <w:link w:val="ab"/>
    <w:uiPriority w:val="1"/>
    <w:qFormat/>
    <w:rsid w:val="00112B3E"/>
    <w:rPr>
      <w:kern w:val="0"/>
      <w:sz w:val="22"/>
    </w:rPr>
  </w:style>
  <w:style w:type="character" w:customStyle="1" w:styleId="ab">
    <w:name w:val="無間距 字元"/>
    <w:basedOn w:val="a0"/>
    <w:link w:val="aa"/>
    <w:uiPriority w:val="1"/>
    <w:rsid w:val="00112B3E"/>
    <w:rPr>
      <w:kern w:val="0"/>
      <w:sz w:val="22"/>
    </w:rPr>
  </w:style>
  <w:style w:type="character" w:styleId="ac">
    <w:name w:val="Hyperlink"/>
    <w:basedOn w:val="a0"/>
    <w:uiPriority w:val="99"/>
    <w:unhideWhenUsed/>
    <w:rsid w:val="00112B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745</Words>
  <Characters>4249</Characters>
  <Application>Microsoft Office Word</Application>
  <DocSecurity>0</DocSecurity>
  <Lines>35</Lines>
  <Paragraphs>9</Paragraphs>
  <ScaleCrop>false</ScaleCrop>
  <Company>Microsoft</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CMU001-1</cp:lastModifiedBy>
  <cp:revision>4</cp:revision>
  <cp:lastPrinted>2018-09-14T09:41:00Z</cp:lastPrinted>
  <dcterms:created xsi:type="dcterms:W3CDTF">2018-09-19T01:36:00Z</dcterms:created>
  <dcterms:modified xsi:type="dcterms:W3CDTF">2018-09-20T19:19:00Z</dcterms:modified>
</cp:coreProperties>
</file>