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DC39" w14:textId="49019C27" w:rsidR="00DC7D64" w:rsidRPr="00127990" w:rsidRDefault="00127990">
      <w:pPr>
        <w:rPr>
          <w:b/>
          <w:sz w:val="20"/>
        </w:rPr>
      </w:pPr>
      <w:r w:rsidRPr="00127990">
        <w:rPr>
          <w:b/>
          <w:sz w:val="20"/>
        </w:rPr>
        <w:t xml:space="preserve">Supporting information </w:t>
      </w:r>
      <w:r w:rsidR="00B6055E">
        <w:rPr>
          <w:b/>
          <w:sz w:val="20"/>
        </w:rPr>
        <w:t xml:space="preserve">4 </w:t>
      </w:r>
      <w:bookmarkStart w:id="0" w:name="_GoBack"/>
      <w:bookmarkEnd w:id="0"/>
      <w:r w:rsidRPr="00127990">
        <w:rPr>
          <w:b/>
          <w:sz w:val="20"/>
        </w:rPr>
        <w:t>– Why the primary study is relevant to a review of drinking in middle-aged men</w:t>
      </w:r>
    </w:p>
    <w:p w14:paraId="05A549A8" w14:textId="77777777" w:rsidR="00127990" w:rsidRPr="00127990" w:rsidRDefault="00127990">
      <w:pPr>
        <w:rPr>
          <w:sz w:val="20"/>
        </w:rPr>
      </w:pPr>
    </w:p>
    <w:tbl>
      <w:tblPr>
        <w:tblStyle w:val="TableGrid"/>
        <w:tblW w:w="14567" w:type="dxa"/>
        <w:tblLook w:val="04A0" w:firstRow="1" w:lastRow="0" w:firstColumn="1" w:lastColumn="0" w:noHBand="0" w:noVBand="1"/>
      </w:tblPr>
      <w:tblGrid>
        <w:gridCol w:w="1913"/>
        <w:gridCol w:w="12654"/>
      </w:tblGrid>
      <w:tr w:rsidR="001F6A52" w:rsidRPr="006B7C1E" w14:paraId="44F64B39" w14:textId="77777777" w:rsidTr="001F6A52">
        <w:tc>
          <w:tcPr>
            <w:tcW w:w="1913" w:type="dxa"/>
          </w:tcPr>
          <w:p w14:paraId="3107686E" w14:textId="77777777" w:rsidR="001F6A52" w:rsidRPr="006B7C1E" w:rsidRDefault="001F6A52">
            <w:pPr>
              <w:rPr>
                <w:b/>
                <w:sz w:val="18"/>
                <w:szCs w:val="18"/>
              </w:rPr>
            </w:pPr>
            <w:r w:rsidRPr="006B7C1E">
              <w:rPr>
                <w:b/>
                <w:sz w:val="18"/>
                <w:szCs w:val="18"/>
              </w:rPr>
              <w:t>Review</w:t>
            </w:r>
          </w:p>
        </w:tc>
        <w:tc>
          <w:tcPr>
            <w:tcW w:w="12654" w:type="dxa"/>
          </w:tcPr>
          <w:p w14:paraId="5565FF0C" w14:textId="77777777" w:rsidR="001F6A52" w:rsidRPr="006B7C1E" w:rsidRDefault="001F6A52" w:rsidP="00C94EB5">
            <w:pPr>
              <w:tabs>
                <w:tab w:val="left" w:pos="2798"/>
              </w:tabs>
              <w:rPr>
                <w:b/>
                <w:sz w:val="18"/>
                <w:szCs w:val="18"/>
              </w:rPr>
            </w:pPr>
            <w:r w:rsidRPr="006B7C1E">
              <w:rPr>
                <w:b/>
                <w:sz w:val="18"/>
                <w:szCs w:val="18"/>
              </w:rPr>
              <w:t>Illustrative quotes from primary study authors distinguishing findings relevant to middle aged men</w:t>
            </w:r>
          </w:p>
        </w:tc>
      </w:tr>
      <w:tr w:rsidR="001F6A52" w:rsidRPr="006B7C1E" w14:paraId="4C39120A" w14:textId="77777777" w:rsidTr="001F6A52">
        <w:tc>
          <w:tcPr>
            <w:tcW w:w="1913" w:type="dxa"/>
          </w:tcPr>
          <w:p w14:paraId="37B097B5" w14:textId="77777777" w:rsidR="001F6A52" w:rsidRPr="006B7C1E" w:rsidRDefault="001F6A52">
            <w:pPr>
              <w:rPr>
                <w:sz w:val="18"/>
                <w:szCs w:val="18"/>
              </w:rPr>
            </w:pPr>
            <w:proofErr w:type="spellStart"/>
            <w:r w:rsidRPr="006B7C1E">
              <w:rPr>
                <w:sz w:val="18"/>
                <w:szCs w:val="18"/>
              </w:rPr>
              <w:t>Brierley</w:t>
            </w:r>
            <w:proofErr w:type="spellEnd"/>
            <w:r w:rsidRPr="006B7C1E">
              <w:rPr>
                <w:sz w:val="18"/>
                <w:szCs w:val="18"/>
              </w:rPr>
              <w:t>-Jones et al (2014)</w:t>
            </w:r>
          </w:p>
        </w:tc>
        <w:tc>
          <w:tcPr>
            <w:tcW w:w="12654" w:type="dxa"/>
          </w:tcPr>
          <w:p w14:paraId="31E22884" w14:textId="77777777" w:rsidR="001F6A52" w:rsidRPr="00D31659" w:rsidRDefault="001F6A52" w:rsidP="00D31659">
            <w:pPr>
              <w:pStyle w:val="ListParagraph"/>
              <w:widowControl w:val="0"/>
              <w:numPr>
                <w:ilvl w:val="0"/>
                <w:numId w:val="1"/>
              </w:numPr>
              <w:autoSpaceDE w:val="0"/>
              <w:autoSpaceDN w:val="0"/>
              <w:adjustRightInd w:val="0"/>
              <w:spacing w:after="240" w:line="300" w:lineRule="atLeast"/>
              <w:rPr>
                <w:rFonts w:cs="Times"/>
                <w:color w:val="000000"/>
                <w:sz w:val="18"/>
                <w:szCs w:val="18"/>
                <w:lang w:val="en-US"/>
              </w:rPr>
            </w:pPr>
            <w:r w:rsidRPr="00D31659">
              <w:rPr>
                <w:rFonts w:cs="Times"/>
                <w:color w:val="000000"/>
                <w:sz w:val="18"/>
                <w:szCs w:val="18"/>
                <w:lang w:val="en-US"/>
              </w:rPr>
              <w:t>“Most quotations illustrating the home drinking habitus were made by women in FG 4. Most of the quotations illustrating the traditional drinking habitus were made by men in FG 3.”</w:t>
            </w:r>
          </w:p>
        </w:tc>
      </w:tr>
      <w:tr w:rsidR="001F6A52" w:rsidRPr="006B7C1E" w14:paraId="7B848A6C" w14:textId="77777777" w:rsidTr="001F6A52">
        <w:tc>
          <w:tcPr>
            <w:tcW w:w="1913" w:type="dxa"/>
          </w:tcPr>
          <w:p w14:paraId="4475EB6A" w14:textId="77777777" w:rsidR="001F6A52" w:rsidRPr="006B7C1E" w:rsidRDefault="001F6A52" w:rsidP="00127990">
            <w:pPr>
              <w:rPr>
                <w:sz w:val="18"/>
                <w:szCs w:val="18"/>
              </w:rPr>
            </w:pPr>
            <w:r w:rsidRPr="006B7C1E">
              <w:rPr>
                <w:sz w:val="18"/>
                <w:szCs w:val="18"/>
              </w:rPr>
              <w:t>Emslie, Hunt &amp; Lyons (2012)</w:t>
            </w:r>
          </w:p>
          <w:p w14:paraId="7AD51CEB" w14:textId="77777777" w:rsidR="001F6A52" w:rsidRPr="006B7C1E" w:rsidRDefault="001F6A52" w:rsidP="00127990">
            <w:pPr>
              <w:rPr>
                <w:sz w:val="18"/>
                <w:szCs w:val="18"/>
              </w:rPr>
            </w:pPr>
            <w:r w:rsidRPr="006B7C1E">
              <w:rPr>
                <w:sz w:val="18"/>
                <w:szCs w:val="18"/>
              </w:rPr>
              <w:t>[</w:t>
            </w:r>
            <w:proofErr w:type="spellStart"/>
            <w:r w:rsidRPr="006B7C1E">
              <w:rPr>
                <w:sz w:val="18"/>
                <w:szCs w:val="18"/>
              </w:rPr>
              <w:t>DrAM</w:t>
            </w:r>
            <w:proofErr w:type="spellEnd"/>
            <w:r w:rsidRPr="006B7C1E">
              <w:rPr>
                <w:sz w:val="18"/>
                <w:szCs w:val="18"/>
              </w:rPr>
              <w:t xml:space="preserve"> 1 of 3]</w:t>
            </w:r>
          </w:p>
        </w:tc>
        <w:tc>
          <w:tcPr>
            <w:tcW w:w="12654" w:type="dxa"/>
          </w:tcPr>
          <w:p w14:paraId="40C8A94E" w14:textId="77777777" w:rsidR="001F6A52" w:rsidRDefault="001F6A52" w:rsidP="006B7C1E">
            <w:pPr>
              <w:pStyle w:val="ListParagraph"/>
              <w:widowControl w:val="0"/>
              <w:numPr>
                <w:ilvl w:val="0"/>
                <w:numId w:val="2"/>
              </w:numPr>
              <w:autoSpaceDE w:val="0"/>
              <w:autoSpaceDN w:val="0"/>
              <w:adjustRightInd w:val="0"/>
              <w:spacing w:after="240" w:line="300" w:lineRule="atLeast"/>
              <w:rPr>
                <w:rFonts w:cs="Times"/>
                <w:color w:val="000000"/>
                <w:sz w:val="18"/>
                <w:szCs w:val="18"/>
                <w:lang w:val="en-US"/>
              </w:rPr>
            </w:pPr>
            <w:r w:rsidRPr="006B7C1E">
              <w:rPr>
                <w:rFonts w:cs="Times"/>
                <w:color w:val="000000"/>
                <w:sz w:val="18"/>
                <w:szCs w:val="18"/>
                <w:lang w:val="en-US"/>
              </w:rPr>
              <w:t xml:space="preserve">“In terms of gender, both men and women saw drinking as pleasurable and a fun way to socialize.” </w:t>
            </w:r>
          </w:p>
          <w:p w14:paraId="6D13FA0A" w14:textId="77777777" w:rsidR="001F6A52" w:rsidRDefault="001F6A52" w:rsidP="006B7C1E">
            <w:pPr>
              <w:pStyle w:val="ListParagraph"/>
              <w:widowControl w:val="0"/>
              <w:numPr>
                <w:ilvl w:val="0"/>
                <w:numId w:val="2"/>
              </w:numPr>
              <w:autoSpaceDE w:val="0"/>
              <w:autoSpaceDN w:val="0"/>
              <w:adjustRightInd w:val="0"/>
              <w:spacing w:after="240" w:line="300" w:lineRule="atLeast"/>
              <w:rPr>
                <w:rFonts w:cs="Times"/>
                <w:color w:val="000000"/>
                <w:sz w:val="18"/>
                <w:szCs w:val="18"/>
                <w:lang w:val="en-US"/>
              </w:rPr>
            </w:pPr>
            <w:r w:rsidRPr="006B7C1E">
              <w:rPr>
                <w:rFonts w:cs="Times"/>
                <w:color w:val="000000"/>
                <w:sz w:val="18"/>
                <w:szCs w:val="18"/>
                <w:lang w:val="en-US"/>
              </w:rPr>
              <w:t xml:space="preserve">“Both men and women experienced pressure to drink and referred to alcohol both as a reward and a way to recover from – or survive – the </w:t>
            </w:r>
            <w:proofErr w:type="spellStart"/>
            <w:r w:rsidRPr="006B7C1E">
              <w:rPr>
                <w:rFonts w:cs="Times"/>
                <w:color w:val="000000"/>
                <w:sz w:val="18"/>
                <w:szCs w:val="18"/>
                <w:lang w:val="en-US"/>
              </w:rPr>
              <w:t>rigours</w:t>
            </w:r>
            <w:proofErr w:type="spellEnd"/>
            <w:r w:rsidRPr="006B7C1E">
              <w:rPr>
                <w:rFonts w:cs="Times"/>
                <w:color w:val="000000"/>
                <w:sz w:val="18"/>
                <w:szCs w:val="18"/>
                <w:lang w:val="en-US"/>
              </w:rPr>
              <w:t xml:space="preserve"> of paid work, unpaid work in the case of women, and other stresses.”</w:t>
            </w:r>
          </w:p>
          <w:p w14:paraId="326C3045" w14:textId="77777777" w:rsidR="001F6A52" w:rsidRPr="006B7C1E" w:rsidRDefault="001F6A52" w:rsidP="006B7C1E">
            <w:pPr>
              <w:pStyle w:val="ListParagraph"/>
              <w:widowControl w:val="0"/>
              <w:numPr>
                <w:ilvl w:val="0"/>
                <w:numId w:val="2"/>
              </w:numPr>
              <w:autoSpaceDE w:val="0"/>
              <w:autoSpaceDN w:val="0"/>
              <w:adjustRightInd w:val="0"/>
              <w:spacing w:after="240" w:line="300" w:lineRule="atLeast"/>
              <w:rPr>
                <w:rFonts w:cs="Times"/>
                <w:color w:val="000000"/>
                <w:sz w:val="18"/>
                <w:szCs w:val="18"/>
                <w:lang w:val="en-US"/>
              </w:rPr>
            </w:pPr>
            <w:r w:rsidRPr="006B7C1E">
              <w:rPr>
                <w:rFonts w:cs="Times"/>
                <w:color w:val="000000"/>
                <w:sz w:val="18"/>
                <w:szCs w:val="18"/>
                <w:lang w:val="en-US"/>
              </w:rPr>
              <w:t xml:space="preserve">“Male participants were able to state that they were going out with the intention of getting drunk (albeit while still demonstrating they could </w:t>
            </w:r>
            <w:proofErr w:type="spellStart"/>
            <w:r w:rsidRPr="006B7C1E">
              <w:rPr>
                <w:rFonts w:cs="Times"/>
                <w:color w:val="000000"/>
                <w:sz w:val="18"/>
                <w:szCs w:val="18"/>
                <w:lang w:val="en-US"/>
              </w:rPr>
              <w:t>fulfil</w:t>
            </w:r>
            <w:proofErr w:type="spellEnd"/>
            <w:r w:rsidRPr="006B7C1E">
              <w:rPr>
                <w:rFonts w:cs="Times"/>
                <w:color w:val="000000"/>
                <w:sz w:val="18"/>
                <w:szCs w:val="18"/>
                <w:lang w:val="en-US"/>
              </w:rPr>
              <w:t xml:space="preserve"> their responsibilities).”</w:t>
            </w:r>
          </w:p>
        </w:tc>
      </w:tr>
      <w:tr w:rsidR="001F6A52" w:rsidRPr="006B7C1E" w14:paraId="148F388D" w14:textId="77777777" w:rsidTr="001F6A52">
        <w:tc>
          <w:tcPr>
            <w:tcW w:w="1913" w:type="dxa"/>
          </w:tcPr>
          <w:p w14:paraId="26BF5CC1" w14:textId="77777777" w:rsidR="001F6A52" w:rsidRPr="006B7C1E" w:rsidRDefault="001F6A52" w:rsidP="00127990">
            <w:pPr>
              <w:rPr>
                <w:sz w:val="18"/>
                <w:szCs w:val="18"/>
              </w:rPr>
            </w:pPr>
            <w:r w:rsidRPr="006B7C1E">
              <w:rPr>
                <w:sz w:val="18"/>
                <w:szCs w:val="18"/>
              </w:rPr>
              <w:t>Emslie, Hunt &amp; Lyons (2013)</w:t>
            </w:r>
          </w:p>
          <w:p w14:paraId="165613FC" w14:textId="77777777" w:rsidR="001F6A52" w:rsidRPr="006B7C1E" w:rsidRDefault="001F6A52" w:rsidP="00127990">
            <w:pPr>
              <w:rPr>
                <w:sz w:val="18"/>
                <w:szCs w:val="18"/>
              </w:rPr>
            </w:pPr>
            <w:r w:rsidRPr="006B7C1E">
              <w:rPr>
                <w:sz w:val="18"/>
                <w:szCs w:val="18"/>
              </w:rPr>
              <w:t>[</w:t>
            </w:r>
            <w:proofErr w:type="spellStart"/>
            <w:r w:rsidRPr="006B7C1E">
              <w:rPr>
                <w:sz w:val="18"/>
                <w:szCs w:val="18"/>
              </w:rPr>
              <w:t>DrAM</w:t>
            </w:r>
            <w:proofErr w:type="spellEnd"/>
            <w:r w:rsidRPr="006B7C1E">
              <w:rPr>
                <w:sz w:val="18"/>
                <w:szCs w:val="18"/>
              </w:rPr>
              <w:t xml:space="preserve"> 2 of 3]</w:t>
            </w:r>
          </w:p>
        </w:tc>
        <w:tc>
          <w:tcPr>
            <w:tcW w:w="12654" w:type="dxa"/>
          </w:tcPr>
          <w:p w14:paraId="0E2D4337" w14:textId="77777777" w:rsidR="001F6A52" w:rsidRPr="00D31659" w:rsidRDefault="001F6A52" w:rsidP="00D31659">
            <w:pPr>
              <w:pStyle w:val="ListParagraph"/>
              <w:widowControl w:val="0"/>
              <w:numPr>
                <w:ilvl w:val="0"/>
                <w:numId w:val="3"/>
              </w:numPr>
              <w:autoSpaceDE w:val="0"/>
              <w:autoSpaceDN w:val="0"/>
              <w:adjustRightInd w:val="0"/>
              <w:spacing w:after="240" w:line="280" w:lineRule="atLeast"/>
              <w:rPr>
                <w:rFonts w:cs="Times"/>
                <w:color w:val="000000"/>
                <w:sz w:val="18"/>
                <w:lang w:val="en-US"/>
              </w:rPr>
            </w:pPr>
            <w:r>
              <w:rPr>
                <w:rFonts w:cs="Times"/>
                <w:color w:val="000000"/>
                <w:sz w:val="18"/>
                <w:lang w:val="en-US"/>
              </w:rPr>
              <w:t>“W</w:t>
            </w:r>
            <w:r w:rsidRPr="00D31659">
              <w:rPr>
                <w:rFonts w:cs="Times"/>
                <w:color w:val="000000"/>
                <w:sz w:val="18"/>
                <w:lang w:val="en-US"/>
              </w:rPr>
              <w:t xml:space="preserve">e focus solely on the male respondents to explore how alcohol is associated with </w:t>
            </w:r>
            <w:r>
              <w:rPr>
                <w:rFonts w:cs="Times"/>
                <w:color w:val="000000"/>
                <w:sz w:val="18"/>
                <w:lang w:val="en-US"/>
              </w:rPr>
              <w:t>“doing” masculinity in midlife.”</w:t>
            </w:r>
          </w:p>
          <w:p w14:paraId="79783B7E" w14:textId="77777777" w:rsidR="001F6A52" w:rsidRPr="006B7C1E" w:rsidRDefault="001F6A52">
            <w:pPr>
              <w:rPr>
                <w:sz w:val="18"/>
                <w:szCs w:val="18"/>
              </w:rPr>
            </w:pPr>
          </w:p>
        </w:tc>
      </w:tr>
      <w:tr w:rsidR="001F6A52" w:rsidRPr="006B7C1E" w14:paraId="17A0158C" w14:textId="77777777" w:rsidTr="001F6A52">
        <w:tc>
          <w:tcPr>
            <w:tcW w:w="1913" w:type="dxa"/>
          </w:tcPr>
          <w:p w14:paraId="557942BA" w14:textId="77777777" w:rsidR="001F6A52" w:rsidRPr="006B7C1E" w:rsidRDefault="001F6A52" w:rsidP="00127990">
            <w:pPr>
              <w:rPr>
                <w:sz w:val="18"/>
                <w:szCs w:val="18"/>
              </w:rPr>
            </w:pPr>
            <w:r w:rsidRPr="006B7C1E">
              <w:rPr>
                <w:sz w:val="18"/>
                <w:szCs w:val="18"/>
              </w:rPr>
              <w:t>Lyons, Emslie &amp; Hunt (2014)</w:t>
            </w:r>
          </w:p>
          <w:p w14:paraId="2801BAAE" w14:textId="77777777" w:rsidR="001F6A52" w:rsidRPr="006B7C1E" w:rsidRDefault="001F6A52" w:rsidP="00127990">
            <w:pPr>
              <w:rPr>
                <w:sz w:val="18"/>
                <w:szCs w:val="18"/>
              </w:rPr>
            </w:pPr>
            <w:r w:rsidRPr="006B7C1E">
              <w:rPr>
                <w:sz w:val="18"/>
                <w:szCs w:val="18"/>
              </w:rPr>
              <w:t>[</w:t>
            </w:r>
            <w:proofErr w:type="spellStart"/>
            <w:r w:rsidRPr="006B7C1E">
              <w:rPr>
                <w:sz w:val="18"/>
                <w:szCs w:val="18"/>
              </w:rPr>
              <w:t>DrAM</w:t>
            </w:r>
            <w:proofErr w:type="spellEnd"/>
            <w:r w:rsidRPr="006B7C1E">
              <w:rPr>
                <w:sz w:val="18"/>
                <w:szCs w:val="18"/>
              </w:rPr>
              <w:t xml:space="preserve"> 3 of 3]</w:t>
            </w:r>
          </w:p>
        </w:tc>
        <w:tc>
          <w:tcPr>
            <w:tcW w:w="12654" w:type="dxa"/>
          </w:tcPr>
          <w:p w14:paraId="4677ADE4" w14:textId="77777777" w:rsidR="001F6A52" w:rsidRPr="0064203B" w:rsidRDefault="001F6A52" w:rsidP="0064203B">
            <w:pPr>
              <w:pStyle w:val="ListParagraph"/>
              <w:widowControl w:val="0"/>
              <w:numPr>
                <w:ilvl w:val="0"/>
                <w:numId w:val="4"/>
              </w:numPr>
              <w:autoSpaceDE w:val="0"/>
              <w:autoSpaceDN w:val="0"/>
              <w:adjustRightInd w:val="0"/>
              <w:spacing w:after="240" w:line="300" w:lineRule="atLeast"/>
              <w:rPr>
                <w:rFonts w:cs="Times"/>
                <w:color w:val="000000"/>
                <w:sz w:val="18"/>
                <w:lang w:val="en-US"/>
              </w:rPr>
            </w:pPr>
            <w:r>
              <w:rPr>
                <w:rFonts w:cs="Times"/>
                <w:color w:val="000000"/>
                <w:sz w:val="18"/>
                <w:szCs w:val="26"/>
                <w:lang w:val="en-US"/>
              </w:rPr>
              <w:t>“</w:t>
            </w:r>
            <w:r w:rsidRPr="0064203B">
              <w:rPr>
                <w:rFonts w:cs="Times"/>
                <w:color w:val="000000"/>
                <w:sz w:val="18"/>
                <w:szCs w:val="26"/>
                <w:lang w:val="en-US"/>
              </w:rPr>
              <w:t xml:space="preserve">We chose to conduct same-sex and mixed-sex groups…to explore similarities and differences in gendered, embodied experiences across different groups. </w:t>
            </w:r>
            <w:r>
              <w:rPr>
                <w:rFonts w:cs="Times"/>
                <w:color w:val="000000"/>
                <w:sz w:val="18"/>
                <w:szCs w:val="26"/>
                <w:lang w:val="en-US"/>
              </w:rPr>
              <w:t>“</w:t>
            </w:r>
          </w:p>
          <w:p w14:paraId="7856D100" w14:textId="77777777" w:rsidR="001F6A52" w:rsidRPr="0064203B" w:rsidRDefault="001F6A52" w:rsidP="0064203B">
            <w:pPr>
              <w:pStyle w:val="ListParagraph"/>
              <w:widowControl w:val="0"/>
              <w:numPr>
                <w:ilvl w:val="0"/>
                <w:numId w:val="4"/>
              </w:numPr>
              <w:autoSpaceDE w:val="0"/>
              <w:autoSpaceDN w:val="0"/>
              <w:adjustRightInd w:val="0"/>
              <w:spacing w:after="240" w:line="300" w:lineRule="atLeast"/>
              <w:rPr>
                <w:rFonts w:cs="Times"/>
                <w:color w:val="000000"/>
                <w:sz w:val="18"/>
                <w:lang w:val="en-US"/>
              </w:rPr>
            </w:pPr>
            <w:r>
              <w:rPr>
                <w:rFonts w:cs="Times"/>
                <w:color w:val="000000"/>
                <w:sz w:val="18"/>
                <w:szCs w:val="26"/>
                <w:lang w:val="en-US"/>
              </w:rPr>
              <w:t>“</w:t>
            </w:r>
            <w:r w:rsidRPr="0064203B">
              <w:rPr>
                <w:rFonts w:cs="Times"/>
                <w:color w:val="000000"/>
                <w:sz w:val="18"/>
                <w:szCs w:val="26"/>
                <w:lang w:val="en-US"/>
              </w:rPr>
              <w:t>This was gendered due to the differ</w:t>
            </w:r>
            <w:r>
              <w:rPr>
                <w:rFonts w:cs="Times"/>
                <w:color w:val="000000"/>
                <w:sz w:val="18"/>
                <w:szCs w:val="26"/>
                <w:lang w:val="en-US"/>
              </w:rPr>
              <w:t xml:space="preserve">ences in everyday social roles. </w:t>
            </w:r>
            <w:r w:rsidRPr="0064203B">
              <w:rPr>
                <w:rFonts w:cs="Times"/>
                <w:color w:val="000000"/>
                <w:sz w:val="18"/>
                <w:szCs w:val="26"/>
                <w:lang w:val="en-US"/>
              </w:rPr>
              <w:t>Generally, for men, drinking alcohol provided embodied pleasur</w:t>
            </w:r>
            <w:r>
              <w:rPr>
                <w:rFonts w:cs="Times"/>
                <w:color w:val="000000"/>
                <w:sz w:val="18"/>
                <w:szCs w:val="26"/>
                <w:lang w:val="en-US"/>
              </w:rPr>
              <w:t>e as a reward for working hard”</w:t>
            </w:r>
          </w:p>
          <w:p w14:paraId="60C8EFB0" w14:textId="55BCEFE9" w:rsidR="001F6A52" w:rsidRPr="00FF38C0" w:rsidRDefault="001F6A52" w:rsidP="00FF38C0">
            <w:pPr>
              <w:pStyle w:val="ListParagraph"/>
              <w:widowControl w:val="0"/>
              <w:numPr>
                <w:ilvl w:val="0"/>
                <w:numId w:val="4"/>
              </w:numPr>
              <w:autoSpaceDE w:val="0"/>
              <w:autoSpaceDN w:val="0"/>
              <w:adjustRightInd w:val="0"/>
              <w:spacing w:after="240" w:line="300" w:lineRule="atLeast"/>
              <w:rPr>
                <w:rFonts w:cs="Times"/>
                <w:color w:val="000000"/>
                <w:sz w:val="18"/>
                <w:lang w:val="en-US"/>
              </w:rPr>
            </w:pPr>
            <w:r>
              <w:rPr>
                <w:rFonts w:cs="Times"/>
                <w:color w:val="000000"/>
                <w:sz w:val="18"/>
                <w:szCs w:val="26"/>
                <w:lang w:val="en-US"/>
              </w:rPr>
              <w:t>“</w:t>
            </w:r>
            <w:r w:rsidRPr="0064203B">
              <w:rPr>
                <w:rFonts w:cs="Times"/>
                <w:color w:val="000000"/>
                <w:sz w:val="18"/>
                <w:szCs w:val="26"/>
                <w:lang w:val="en-US"/>
              </w:rPr>
              <w:t>Both men and women described this state of enjoyment as being in</w:t>
            </w:r>
            <w:r>
              <w:rPr>
                <w:rFonts w:cs="Times"/>
                <w:color w:val="000000"/>
                <w:sz w:val="18"/>
                <w:szCs w:val="26"/>
                <w:lang w:val="en-US"/>
              </w:rPr>
              <w:t xml:space="preserve"> the zone or that perfect level.”</w:t>
            </w:r>
          </w:p>
        </w:tc>
      </w:tr>
      <w:tr w:rsidR="001F6A52" w:rsidRPr="006B7C1E" w14:paraId="034D6A3C" w14:textId="77777777" w:rsidTr="001F6A52">
        <w:tc>
          <w:tcPr>
            <w:tcW w:w="1913" w:type="dxa"/>
          </w:tcPr>
          <w:p w14:paraId="736750D5" w14:textId="77777777" w:rsidR="001F6A52" w:rsidRPr="001F6A52" w:rsidRDefault="001F6A52" w:rsidP="00127990">
            <w:pPr>
              <w:rPr>
                <w:sz w:val="18"/>
                <w:szCs w:val="18"/>
              </w:rPr>
            </w:pPr>
            <w:r w:rsidRPr="001F6A52">
              <w:rPr>
                <w:sz w:val="18"/>
                <w:szCs w:val="18"/>
              </w:rPr>
              <w:t xml:space="preserve">Foster, Read, </w:t>
            </w:r>
            <w:proofErr w:type="spellStart"/>
            <w:r w:rsidRPr="001F6A52">
              <w:rPr>
                <w:sz w:val="18"/>
                <w:szCs w:val="18"/>
              </w:rPr>
              <w:t>Karunthi</w:t>
            </w:r>
            <w:proofErr w:type="spellEnd"/>
            <w:r w:rsidRPr="001F6A52">
              <w:rPr>
                <w:sz w:val="18"/>
                <w:szCs w:val="18"/>
              </w:rPr>
              <w:t xml:space="preserve"> et al. (2010) </w:t>
            </w:r>
          </w:p>
          <w:p w14:paraId="5D94E553" w14:textId="77777777" w:rsidR="001F6A52" w:rsidRPr="001F6A52" w:rsidRDefault="001F6A52" w:rsidP="00127990">
            <w:pPr>
              <w:rPr>
                <w:sz w:val="18"/>
                <w:szCs w:val="18"/>
              </w:rPr>
            </w:pPr>
            <w:r w:rsidRPr="001F6A52">
              <w:rPr>
                <w:sz w:val="18"/>
                <w:szCs w:val="18"/>
              </w:rPr>
              <w:t>[1 of 2]</w:t>
            </w:r>
          </w:p>
        </w:tc>
        <w:tc>
          <w:tcPr>
            <w:tcW w:w="12654" w:type="dxa"/>
          </w:tcPr>
          <w:p w14:paraId="1B934E31" w14:textId="6C015E26" w:rsidR="001F6A52" w:rsidRPr="001F6A52" w:rsidRDefault="001F6A52" w:rsidP="001F6A52">
            <w:pPr>
              <w:pStyle w:val="ListParagraph"/>
              <w:widowControl w:val="0"/>
              <w:numPr>
                <w:ilvl w:val="0"/>
                <w:numId w:val="6"/>
              </w:numPr>
              <w:autoSpaceDE w:val="0"/>
              <w:autoSpaceDN w:val="0"/>
              <w:adjustRightInd w:val="0"/>
              <w:spacing w:after="240" w:line="300" w:lineRule="atLeast"/>
              <w:rPr>
                <w:rFonts w:cs="Times"/>
                <w:color w:val="000000"/>
                <w:sz w:val="18"/>
                <w:szCs w:val="18"/>
                <w:lang w:val="en-US"/>
              </w:rPr>
            </w:pPr>
            <w:r w:rsidRPr="001F6A52">
              <w:rPr>
                <w:sz w:val="18"/>
                <w:szCs w:val="18"/>
              </w:rPr>
              <w:t>“</w:t>
            </w:r>
            <w:r w:rsidRPr="001F6A52">
              <w:rPr>
                <w:rFonts w:cs="Times"/>
                <w:color w:val="1A1718"/>
                <w:sz w:val="18"/>
                <w:szCs w:val="18"/>
                <w:lang w:val="en-US"/>
              </w:rPr>
              <w:t>A summary of the themes and the gender and age distribution of the comments are shown in Table 1.”</w:t>
            </w:r>
          </w:p>
          <w:p w14:paraId="58BA40B0" w14:textId="088CBD84" w:rsidR="001F6A52" w:rsidRPr="001F6A52" w:rsidRDefault="001F6A52" w:rsidP="001F6A52">
            <w:pPr>
              <w:pStyle w:val="ListParagraph"/>
              <w:widowControl w:val="0"/>
              <w:numPr>
                <w:ilvl w:val="0"/>
                <w:numId w:val="6"/>
              </w:numPr>
              <w:autoSpaceDE w:val="0"/>
              <w:autoSpaceDN w:val="0"/>
              <w:adjustRightInd w:val="0"/>
              <w:spacing w:after="240" w:line="300" w:lineRule="atLeast"/>
              <w:rPr>
                <w:rFonts w:cs="Times"/>
                <w:color w:val="000000"/>
                <w:sz w:val="18"/>
                <w:szCs w:val="18"/>
                <w:lang w:val="en-US"/>
              </w:rPr>
            </w:pPr>
            <w:r w:rsidRPr="001F6A52">
              <w:rPr>
                <w:sz w:val="18"/>
                <w:szCs w:val="18"/>
              </w:rPr>
              <w:t>“</w:t>
            </w:r>
            <w:r w:rsidRPr="001F6A52">
              <w:rPr>
                <w:rFonts w:cs="Times"/>
                <w:color w:val="1A1718"/>
                <w:sz w:val="18"/>
                <w:szCs w:val="18"/>
                <w:lang w:val="en-US"/>
              </w:rPr>
              <w:t xml:space="preserve">The theme of convenience was common for both genders and for individuals aged 16–55.” </w:t>
            </w:r>
          </w:p>
          <w:p w14:paraId="6F755511" w14:textId="4F842B95" w:rsidR="001F6A52" w:rsidRPr="001F6A52" w:rsidRDefault="001F6A52" w:rsidP="001F6A52">
            <w:pPr>
              <w:pStyle w:val="ListParagraph"/>
              <w:widowControl w:val="0"/>
              <w:numPr>
                <w:ilvl w:val="0"/>
                <w:numId w:val="6"/>
              </w:numPr>
              <w:autoSpaceDE w:val="0"/>
              <w:autoSpaceDN w:val="0"/>
              <w:adjustRightInd w:val="0"/>
              <w:spacing w:after="240" w:line="300" w:lineRule="atLeast"/>
              <w:rPr>
                <w:rFonts w:ascii="Times" w:hAnsi="Times" w:cs="Times"/>
                <w:color w:val="000000"/>
                <w:lang w:val="en-US"/>
              </w:rPr>
            </w:pPr>
            <w:r w:rsidRPr="001F6A52">
              <w:rPr>
                <w:rFonts w:cs="Times"/>
                <w:color w:val="1A1718"/>
                <w:sz w:val="18"/>
                <w:szCs w:val="18"/>
                <w:lang w:val="en-US"/>
              </w:rPr>
              <w:t>“Cost was discussed most frequently by males and individuals aged 26–35 and 46–55.”</w:t>
            </w:r>
          </w:p>
        </w:tc>
      </w:tr>
      <w:tr w:rsidR="001F6A52" w:rsidRPr="006B7C1E" w14:paraId="1454386E" w14:textId="77777777" w:rsidTr="001F6A52">
        <w:tc>
          <w:tcPr>
            <w:tcW w:w="1913" w:type="dxa"/>
          </w:tcPr>
          <w:p w14:paraId="4BF1396B" w14:textId="77777777" w:rsidR="001F6A52" w:rsidRPr="008C1CEC" w:rsidRDefault="001F6A52" w:rsidP="00127990">
            <w:pPr>
              <w:rPr>
                <w:sz w:val="18"/>
                <w:szCs w:val="18"/>
              </w:rPr>
            </w:pPr>
            <w:r w:rsidRPr="008C1CEC">
              <w:rPr>
                <w:sz w:val="18"/>
                <w:szCs w:val="18"/>
              </w:rPr>
              <w:t xml:space="preserve">Foster &amp; </w:t>
            </w:r>
            <w:proofErr w:type="spellStart"/>
            <w:r w:rsidRPr="008C1CEC">
              <w:rPr>
                <w:sz w:val="18"/>
                <w:szCs w:val="18"/>
              </w:rPr>
              <w:t>Heyman</w:t>
            </w:r>
            <w:proofErr w:type="spellEnd"/>
            <w:r w:rsidRPr="008C1CEC">
              <w:rPr>
                <w:sz w:val="18"/>
                <w:szCs w:val="18"/>
              </w:rPr>
              <w:t xml:space="preserve"> (2013)</w:t>
            </w:r>
          </w:p>
          <w:p w14:paraId="00348B81" w14:textId="77777777" w:rsidR="001F6A52" w:rsidRPr="008C1CEC" w:rsidRDefault="001F6A52" w:rsidP="00127990">
            <w:pPr>
              <w:rPr>
                <w:sz w:val="18"/>
                <w:szCs w:val="18"/>
              </w:rPr>
            </w:pPr>
            <w:r w:rsidRPr="008C1CEC">
              <w:rPr>
                <w:sz w:val="18"/>
                <w:szCs w:val="18"/>
              </w:rPr>
              <w:t>[2 of 2]</w:t>
            </w:r>
          </w:p>
        </w:tc>
        <w:tc>
          <w:tcPr>
            <w:tcW w:w="12654" w:type="dxa"/>
          </w:tcPr>
          <w:p w14:paraId="5CDD9903" w14:textId="4F42A2A1" w:rsidR="001F6A52" w:rsidRPr="008C1CEC" w:rsidRDefault="008C1CEC" w:rsidP="008C1CEC">
            <w:pPr>
              <w:pStyle w:val="ListParagraph"/>
              <w:widowControl w:val="0"/>
              <w:numPr>
                <w:ilvl w:val="0"/>
                <w:numId w:val="8"/>
              </w:numPr>
              <w:autoSpaceDE w:val="0"/>
              <w:autoSpaceDN w:val="0"/>
              <w:adjustRightInd w:val="0"/>
              <w:spacing w:after="240" w:line="300" w:lineRule="atLeast"/>
              <w:rPr>
                <w:rFonts w:cs="Times"/>
                <w:color w:val="000000"/>
                <w:sz w:val="18"/>
                <w:szCs w:val="18"/>
                <w:lang w:val="en-US"/>
              </w:rPr>
            </w:pPr>
            <w:r>
              <w:rPr>
                <w:rFonts w:cs="Times"/>
                <w:color w:val="000000"/>
                <w:sz w:val="18"/>
                <w:szCs w:val="18"/>
                <w:lang w:val="en-US"/>
              </w:rPr>
              <w:t>“T</w:t>
            </w:r>
            <w:r w:rsidR="001F6A52" w:rsidRPr="008C1CEC">
              <w:rPr>
                <w:rFonts w:cs="Times"/>
                <w:color w:val="000000"/>
                <w:sz w:val="18"/>
                <w:szCs w:val="18"/>
                <w:lang w:val="en-US"/>
              </w:rPr>
              <w:t>hey all saw themselve</w:t>
            </w:r>
            <w:r>
              <w:rPr>
                <w:rFonts w:cs="Times"/>
                <w:color w:val="000000"/>
                <w:sz w:val="18"/>
                <w:szCs w:val="18"/>
                <w:lang w:val="en-US"/>
              </w:rPr>
              <w:t>s as being ‘sensible’ drinkers.”</w:t>
            </w:r>
          </w:p>
          <w:p w14:paraId="25965C00" w14:textId="0E8FD94B" w:rsidR="001F6A52" w:rsidRPr="008C1CEC" w:rsidRDefault="008C1CEC" w:rsidP="008C1CEC">
            <w:pPr>
              <w:pStyle w:val="ListParagraph"/>
              <w:widowControl w:val="0"/>
              <w:numPr>
                <w:ilvl w:val="0"/>
                <w:numId w:val="8"/>
              </w:numPr>
              <w:autoSpaceDE w:val="0"/>
              <w:autoSpaceDN w:val="0"/>
              <w:adjustRightInd w:val="0"/>
              <w:spacing w:after="240" w:line="300" w:lineRule="atLeast"/>
              <w:rPr>
                <w:rFonts w:cs="Times"/>
                <w:color w:val="000000"/>
                <w:sz w:val="18"/>
                <w:szCs w:val="18"/>
                <w:lang w:val="en-US"/>
              </w:rPr>
            </w:pPr>
            <w:r>
              <w:rPr>
                <w:rFonts w:cs="Times"/>
                <w:color w:val="000000"/>
                <w:sz w:val="18"/>
                <w:szCs w:val="18"/>
                <w:lang w:val="en-US"/>
              </w:rPr>
              <w:t>“</w:t>
            </w:r>
            <w:r w:rsidRPr="008C1CEC">
              <w:rPr>
                <w:rFonts w:cs="Times"/>
                <w:color w:val="000000"/>
                <w:sz w:val="18"/>
                <w:szCs w:val="18"/>
                <w:lang w:val="en-US"/>
              </w:rPr>
              <w:t xml:space="preserve">Group A, which included the youngest participants, tended to describe the most risky </w:t>
            </w:r>
            <w:proofErr w:type="spellStart"/>
            <w:r w:rsidRPr="008C1CEC">
              <w:rPr>
                <w:rFonts w:cs="Times"/>
                <w:color w:val="000000"/>
                <w:sz w:val="18"/>
                <w:szCs w:val="18"/>
                <w:lang w:val="en-US"/>
              </w:rPr>
              <w:t>behaviours</w:t>
            </w:r>
            <w:proofErr w:type="spellEnd"/>
            <w:r w:rsidRPr="008C1CEC">
              <w:rPr>
                <w:rFonts w:cs="Times"/>
                <w:color w:val="000000"/>
                <w:sz w:val="18"/>
                <w:szCs w:val="18"/>
                <w:lang w:val="en-US"/>
              </w:rPr>
              <w:t>; and Group C, individuals recruited through a residents’ association of a housing es</w:t>
            </w:r>
            <w:r>
              <w:rPr>
                <w:rFonts w:cs="Times"/>
                <w:color w:val="000000"/>
                <w:sz w:val="18"/>
                <w:szCs w:val="18"/>
                <w:lang w:val="en-US"/>
              </w:rPr>
              <w:t>tate were the most risk-averse.”</w:t>
            </w:r>
          </w:p>
        </w:tc>
      </w:tr>
      <w:tr w:rsidR="001F6A52" w:rsidRPr="006B7C1E" w14:paraId="3495CF00" w14:textId="77777777" w:rsidTr="001F6A52">
        <w:tc>
          <w:tcPr>
            <w:tcW w:w="1913" w:type="dxa"/>
          </w:tcPr>
          <w:p w14:paraId="7E0591EC" w14:textId="77777777" w:rsidR="001F6A52" w:rsidRPr="006B7C1E" w:rsidRDefault="001F6A52" w:rsidP="00127990">
            <w:pPr>
              <w:rPr>
                <w:sz w:val="18"/>
                <w:szCs w:val="18"/>
              </w:rPr>
            </w:pPr>
            <w:proofErr w:type="spellStart"/>
            <w:r w:rsidRPr="006B7C1E">
              <w:rPr>
                <w:sz w:val="18"/>
                <w:szCs w:val="18"/>
              </w:rPr>
              <w:t>Orford</w:t>
            </w:r>
            <w:proofErr w:type="spellEnd"/>
            <w:r w:rsidRPr="006B7C1E">
              <w:rPr>
                <w:sz w:val="18"/>
                <w:szCs w:val="18"/>
              </w:rPr>
              <w:t xml:space="preserve">, Dalton, </w:t>
            </w:r>
            <w:proofErr w:type="spellStart"/>
            <w:r w:rsidRPr="006B7C1E">
              <w:rPr>
                <w:sz w:val="18"/>
                <w:szCs w:val="18"/>
              </w:rPr>
              <w:t>Hartney</w:t>
            </w:r>
            <w:proofErr w:type="spellEnd"/>
            <w:r w:rsidRPr="006B7C1E">
              <w:rPr>
                <w:sz w:val="18"/>
                <w:szCs w:val="18"/>
              </w:rPr>
              <w:t xml:space="preserve"> et al. (2002) </w:t>
            </w:r>
          </w:p>
          <w:p w14:paraId="36BC1341" w14:textId="77777777" w:rsidR="001F6A52" w:rsidRPr="006B7C1E" w:rsidRDefault="001F6A52" w:rsidP="00127990">
            <w:pPr>
              <w:rPr>
                <w:sz w:val="18"/>
                <w:szCs w:val="18"/>
              </w:rPr>
            </w:pPr>
            <w:r w:rsidRPr="006B7C1E">
              <w:rPr>
                <w:sz w:val="18"/>
                <w:szCs w:val="18"/>
              </w:rPr>
              <w:lastRenderedPageBreak/>
              <w:t>[BUHD 1 of 3]</w:t>
            </w:r>
          </w:p>
        </w:tc>
        <w:tc>
          <w:tcPr>
            <w:tcW w:w="12654" w:type="dxa"/>
          </w:tcPr>
          <w:p w14:paraId="5ED88C93" w14:textId="01666EF3" w:rsidR="001F6A52" w:rsidRPr="008C1CEC" w:rsidRDefault="008C1CEC" w:rsidP="008C1CEC">
            <w:pPr>
              <w:widowControl w:val="0"/>
              <w:numPr>
                <w:ilvl w:val="0"/>
                <w:numId w:val="9"/>
              </w:numPr>
              <w:tabs>
                <w:tab w:val="left" w:pos="220"/>
                <w:tab w:val="left" w:pos="720"/>
              </w:tabs>
              <w:autoSpaceDE w:val="0"/>
              <w:autoSpaceDN w:val="0"/>
              <w:adjustRightInd w:val="0"/>
              <w:spacing w:after="266" w:line="300" w:lineRule="atLeast"/>
              <w:rPr>
                <w:rFonts w:cs="Times"/>
                <w:color w:val="000000"/>
                <w:sz w:val="18"/>
                <w:szCs w:val="26"/>
                <w:lang w:val="en-US"/>
              </w:rPr>
            </w:pPr>
            <w:r w:rsidRPr="00BA135E">
              <w:rPr>
                <w:rFonts w:cs="Times"/>
                <w:i/>
                <w:color w:val="000000"/>
                <w:sz w:val="18"/>
                <w:szCs w:val="26"/>
                <w:lang w:val="en-US"/>
              </w:rPr>
              <w:lastRenderedPageBreak/>
              <w:t xml:space="preserve">Presents a model using findings </w:t>
            </w:r>
            <w:proofErr w:type="spellStart"/>
            <w:r w:rsidRPr="00BA135E">
              <w:rPr>
                <w:rFonts w:cs="Times"/>
                <w:i/>
                <w:color w:val="000000"/>
                <w:sz w:val="18"/>
                <w:szCs w:val="26"/>
                <w:lang w:val="en-US"/>
              </w:rPr>
              <w:t>generalisable</w:t>
            </w:r>
            <w:proofErr w:type="spellEnd"/>
            <w:r w:rsidRPr="00BA135E">
              <w:rPr>
                <w:rFonts w:cs="Times"/>
                <w:i/>
                <w:color w:val="000000"/>
                <w:sz w:val="18"/>
                <w:szCs w:val="26"/>
                <w:lang w:val="en-US"/>
              </w:rPr>
              <w:t xml:space="preserve"> across population sample: </w:t>
            </w:r>
            <w:r>
              <w:rPr>
                <w:rFonts w:cs="Times"/>
                <w:color w:val="000000"/>
                <w:sz w:val="18"/>
                <w:szCs w:val="26"/>
                <w:lang w:val="en-US"/>
              </w:rPr>
              <w:t>“T</w:t>
            </w:r>
            <w:r w:rsidRPr="008C1CEC">
              <w:rPr>
                <w:rFonts w:cs="Times"/>
                <w:color w:val="000000"/>
                <w:sz w:val="18"/>
                <w:szCs w:val="26"/>
                <w:lang w:val="en-US"/>
              </w:rPr>
              <w:t xml:space="preserve">he aim was then to develop a model of how heavy drinking might be maintained in the </w:t>
            </w:r>
            <w:r w:rsidRPr="008C1CEC">
              <w:rPr>
                <w:rFonts w:cs="Times"/>
                <w:color w:val="000000"/>
                <w:sz w:val="18"/>
                <w:szCs w:val="26"/>
                <w:lang w:val="en-US"/>
              </w:rPr>
              <w:lastRenderedPageBreak/>
              <w:t>face of the r</w:t>
            </w:r>
            <w:r>
              <w:rPr>
                <w:rFonts w:cs="Times"/>
                <w:color w:val="000000"/>
                <w:sz w:val="18"/>
                <w:szCs w:val="26"/>
                <w:lang w:val="en-US"/>
              </w:rPr>
              <w:t>eported benefits and drawbacks.”</w:t>
            </w:r>
          </w:p>
        </w:tc>
      </w:tr>
      <w:tr w:rsidR="001F6A52" w:rsidRPr="006B7C1E" w14:paraId="2A396850" w14:textId="77777777" w:rsidTr="001F6A52">
        <w:tc>
          <w:tcPr>
            <w:tcW w:w="1913" w:type="dxa"/>
          </w:tcPr>
          <w:p w14:paraId="7233068B" w14:textId="77777777" w:rsidR="001F6A52" w:rsidRPr="006B7C1E" w:rsidRDefault="001F6A52" w:rsidP="00127990">
            <w:pPr>
              <w:rPr>
                <w:sz w:val="18"/>
                <w:szCs w:val="18"/>
              </w:rPr>
            </w:pPr>
            <w:r w:rsidRPr="006B7C1E">
              <w:rPr>
                <w:sz w:val="18"/>
                <w:szCs w:val="18"/>
              </w:rPr>
              <w:lastRenderedPageBreak/>
              <w:t>Rolfe, Dalton, Krishnan et al. (2006)</w:t>
            </w:r>
          </w:p>
          <w:p w14:paraId="2A8EF0A4" w14:textId="77777777" w:rsidR="001F6A52" w:rsidRPr="006B7C1E" w:rsidRDefault="001F6A52" w:rsidP="00127990">
            <w:pPr>
              <w:rPr>
                <w:sz w:val="18"/>
                <w:szCs w:val="18"/>
              </w:rPr>
            </w:pPr>
            <w:r w:rsidRPr="006B7C1E">
              <w:rPr>
                <w:sz w:val="18"/>
                <w:szCs w:val="18"/>
              </w:rPr>
              <w:t>[BUHD 2 of 3]</w:t>
            </w:r>
          </w:p>
        </w:tc>
        <w:tc>
          <w:tcPr>
            <w:tcW w:w="12654" w:type="dxa"/>
          </w:tcPr>
          <w:p w14:paraId="1E160E36" w14:textId="77777777" w:rsidR="00BA135E" w:rsidRPr="00BA135E" w:rsidRDefault="00BA135E" w:rsidP="00BA135E">
            <w:pPr>
              <w:pStyle w:val="ListParagraph"/>
              <w:widowControl w:val="0"/>
              <w:numPr>
                <w:ilvl w:val="0"/>
                <w:numId w:val="9"/>
              </w:numPr>
              <w:autoSpaceDE w:val="0"/>
              <w:autoSpaceDN w:val="0"/>
              <w:adjustRightInd w:val="0"/>
              <w:spacing w:after="240" w:line="300" w:lineRule="atLeast"/>
              <w:rPr>
                <w:rFonts w:cs="Times"/>
                <w:color w:val="000000"/>
                <w:sz w:val="16"/>
                <w:lang w:val="en-US"/>
              </w:rPr>
            </w:pPr>
            <w:r>
              <w:rPr>
                <w:rFonts w:cs="Times"/>
                <w:color w:val="000000"/>
                <w:sz w:val="18"/>
                <w:szCs w:val="26"/>
                <w:lang w:val="en-US"/>
              </w:rPr>
              <w:t>“</w:t>
            </w:r>
            <w:r w:rsidRPr="00BA135E">
              <w:rPr>
                <w:rFonts w:cs="Times"/>
                <w:color w:val="000000"/>
                <w:sz w:val="18"/>
                <w:szCs w:val="26"/>
                <w:lang w:val="en-US"/>
              </w:rPr>
              <w:t>The analysis for the present paper is based on qualitative data on the topics [including]… masculinity and alcohol (men only, n=23)</w:t>
            </w:r>
            <w:r>
              <w:rPr>
                <w:rFonts w:cs="Times"/>
                <w:color w:val="000000"/>
                <w:sz w:val="18"/>
                <w:szCs w:val="26"/>
                <w:lang w:val="en-US"/>
              </w:rPr>
              <w:t>”</w:t>
            </w:r>
          </w:p>
          <w:p w14:paraId="44527403" w14:textId="7E03DDD4" w:rsidR="001F6A52" w:rsidRPr="00BA135E" w:rsidRDefault="00BA135E" w:rsidP="00BA135E">
            <w:pPr>
              <w:pStyle w:val="ListParagraph"/>
              <w:widowControl w:val="0"/>
              <w:numPr>
                <w:ilvl w:val="0"/>
                <w:numId w:val="9"/>
              </w:numPr>
              <w:autoSpaceDE w:val="0"/>
              <w:autoSpaceDN w:val="0"/>
              <w:adjustRightInd w:val="0"/>
              <w:spacing w:after="240" w:line="300" w:lineRule="atLeast"/>
              <w:rPr>
                <w:rFonts w:cs="Times"/>
                <w:color w:val="000000"/>
                <w:sz w:val="18"/>
                <w:szCs w:val="18"/>
                <w:lang w:val="en-US"/>
              </w:rPr>
            </w:pPr>
            <w:r w:rsidRPr="00BA135E">
              <w:rPr>
                <w:rFonts w:cs="Times"/>
                <w:color w:val="000000"/>
                <w:sz w:val="18"/>
                <w:szCs w:val="18"/>
                <w:lang w:val="en-US"/>
              </w:rPr>
              <w:t xml:space="preserve">“Men also talked about fighting as part of being a man and particularly as part of a macho culture. It was a commonly expressed view that men often went drinking looking for a fight or expecting trouble.” </w:t>
            </w:r>
          </w:p>
        </w:tc>
      </w:tr>
      <w:tr w:rsidR="001F6A52" w:rsidRPr="006B7C1E" w14:paraId="071CBE22" w14:textId="77777777" w:rsidTr="001F6A52">
        <w:tc>
          <w:tcPr>
            <w:tcW w:w="1913" w:type="dxa"/>
          </w:tcPr>
          <w:p w14:paraId="77639B01" w14:textId="77777777" w:rsidR="001F6A52" w:rsidRPr="006B7C1E" w:rsidRDefault="001F6A52" w:rsidP="00127990">
            <w:pPr>
              <w:rPr>
                <w:sz w:val="18"/>
                <w:szCs w:val="18"/>
              </w:rPr>
            </w:pPr>
            <w:proofErr w:type="spellStart"/>
            <w:r w:rsidRPr="006B7C1E">
              <w:rPr>
                <w:sz w:val="18"/>
                <w:szCs w:val="18"/>
              </w:rPr>
              <w:t>Orford</w:t>
            </w:r>
            <w:proofErr w:type="spellEnd"/>
            <w:r w:rsidRPr="006B7C1E">
              <w:rPr>
                <w:sz w:val="18"/>
                <w:szCs w:val="18"/>
              </w:rPr>
              <w:t>, Rolfe, Dalton et al. (2009)</w:t>
            </w:r>
          </w:p>
          <w:p w14:paraId="433E5C51" w14:textId="77777777" w:rsidR="001F6A52" w:rsidRPr="006B7C1E" w:rsidRDefault="001F6A52" w:rsidP="00127990">
            <w:pPr>
              <w:rPr>
                <w:sz w:val="18"/>
                <w:szCs w:val="18"/>
              </w:rPr>
            </w:pPr>
            <w:r w:rsidRPr="006B7C1E">
              <w:rPr>
                <w:sz w:val="18"/>
                <w:szCs w:val="18"/>
              </w:rPr>
              <w:t>[BUHD 3 of 3]</w:t>
            </w:r>
          </w:p>
        </w:tc>
        <w:tc>
          <w:tcPr>
            <w:tcW w:w="12654" w:type="dxa"/>
          </w:tcPr>
          <w:p w14:paraId="29D90EE2" w14:textId="3C56FB78" w:rsidR="001F6A52" w:rsidRPr="00BA135E" w:rsidRDefault="00BA135E" w:rsidP="00BA135E">
            <w:pPr>
              <w:pStyle w:val="ListParagraph"/>
              <w:widowControl w:val="0"/>
              <w:numPr>
                <w:ilvl w:val="0"/>
                <w:numId w:val="12"/>
              </w:numPr>
              <w:autoSpaceDE w:val="0"/>
              <w:autoSpaceDN w:val="0"/>
              <w:adjustRightInd w:val="0"/>
              <w:spacing w:after="240" w:line="300" w:lineRule="atLeast"/>
              <w:rPr>
                <w:rFonts w:cs="Times"/>
                <w:color w:val="000000"/>
                <w:sz w:val="18"/>
                <w:szCs w:val="18"/>
                <w:lang w:val="en-US"/>
              </w:rPr>
            </w:pPr>
            <w:r>
              <w:rPr>
                <w:rFonts w:cs="Times"/>
                <w:color w:val="1A1718"/>
                <w:sz w:val="18"/>
                <w:szCs w:val="18"/>
                <w:lang w:val="en-US"/>
              </w:rPr>
              <w:t>“</w:t>
            </w:r>
            <w:r w:rsidRPr="00BA135E">
              <w:rPr>
                <w:rFonts w:cs="Times"/>
                <w:color w:val="1A1718"/>
                <w:sz w:val="18"/>
                <w:szCs w:val="18"/>
                <w:lang w:val="en-US"/>
              </w:rPr>
              <w:t>Because the views of men were over-represented and gender has not been considered in the present analysis (data from the same study are being considered from a gender perspective elsewhere), it is also possible that the conclusions drawn may represent a male-biased perspective, particularly if the pub continues to be an arena of special importance for the expression of forms of masculinity</w:t>
            </w:r>
            <w:r>
              <w:rPr>
                <w:rFonts w:cs="Times"/>
                <w:color w:val="1A1718"/>
                <w:sz w:val="18"/>
                <w:szCs w:val="18"/>
                <w:lang w:val="en-US"/>
              </w:rPr>
              <w:t>.”</w:t>
            </w:r>
          </w:p>
        </w:tc>
      </w:tr>
      <w:tr w:rsidR="001F6A52" w:rsidRPr="006B7C1E" w14:paraId="63AA3498" w14:textId="77777777" w:rsidTr="001F6A52">
        <w:tc>
          <w:tcPr>
            <w:tcW w:w="1913" w:type="dxa"/>
          </w:tcPr>
          <w:p w14:paraId="2742E52B" w14:textId="119128F3" w:rsidR="001F6A52" w:rsidRPr="006B7C1E" w:rsidRDefault="001F6A52" w:rsidP="001F6A52">
            <w:pPr>
              <w:tabs>
                <w:tab w:val="left" w:pos="1110"/>
              </w:tabs>
              <w:rPr>
                <w:sz w:val="18"/>
                <w:szCs w:val="18"/>
              </w:rPr>
            </w:pPr>
            <w:r w:rsidRPr="006B7C1E">
              <w:rPr>
                <w:sz w:val="18"/>
                <w:szCs w:val="18"/>
              </w:rPr>
              <w:t>Ritchie (2007)</w:t>
            </w:r>
            <w:r w:rsidRPr="006B7C1E">
              <w:rPr>
                <w:sz w:val="18"/>
                <w:szCs w:val="18"/>
              </w:rPr>
              <w:tab/>
            </w:r>
          </w:p>
        </w:tc>
        <w:tc>
          <w:tcPr>
            <w:tcW w:w="12654" w:type="dxa"/>
          </w:tcPr>
          <w:p w14:paraId="72981C21" w14:textId="6FAB996B" w:rsidR="00F9672B" w:rsidRPr="00F9672B" w:rsidRDefault="00F9672B" w:rsidP="00F9672B">
            <w:pPr>
              <w:pStyle w:val="ListParagraph"/>
              <w:widowControl w:val="0"/>
              <w:numPr>
                <w:ilvl w:val="0"/>
                <w:numId w:val="12"/>
              </w:numPr>
              <w:autoSpaceDE w:val="0"/>
              <w:autoSpaceDN w:val="0"/>
              <w:adjustRightInd w:val="0"/>
              <w:spacing w:after="240" w:line="280" w:lineRule="atLeast"/>
              <w:rPr>
                <w:rFonts w:cs="Times"/>
                <w:color w:val="000000"/>
                <w:sz w:val="18"/>
                <w:lang w:val="en-US"/>
              </w:rPr>
            </w:pPr>
            <w:r>
              <w:rPr>
                <w:rFonts w:cs="Times"/>
                <w:color w:val="000000"/>
                <w:sz w:val="18"/>
                <w:lang w:val="en-US"/>
              </w:rPr>
              <w:t>“</w:t>
            </w:r>
            <w:r w:rsidRPr="00F9672B">
              <w:rPr>
                <w:rFonts w:cs="Times"/>
                <w:color w:val="000000"/>
                <w:sz w:val="18"/>
                <w:lang w:val="en-US"/>
              </w:rPr>
              <w:t>In a partnership most of the overt, and almost all the specialist, wine purchasing was performed or believed to be performed by the male partner…overt wine buying was per</w:t>
            </w:r>
            <w:r>
              <w:rPr>
                <w:rFonts w:cs="Times"/>
                <w:color w:val="000000"/>
                <w:sz w:val="18"/>
                <w:lang w:val="en-US"/>
              </w:rPr>
              <w:t>ceived as a masculine activity.”</w:t>
            </w:r>
          </w:p>
          <w:p w14:paraId="755547A3" w14:textId="7FC6A6D7" w:rsidR="001F6A52" w:rsidRPr="00F9672B" w:rsidRDefault="00F9672B" w:rsidP="00F9672B">
            <w:pPr>
              <w:pStyle w:val="ListParagraph"/>
              <w:widowControl w:val="0"/>
              <w:numPr>
                <w:ilvl w:val="0"/>
                <w:numId w:val="12"/>
              </w:numPr>
              <w:autoSpaceDE w:val="0"/>
              <w:autoSpaceDN w:val="0"/>
              <w:adjustRightInd w:val="0"/>
              <w:spacing w:after="240" w:line="280" w:lineRule="atLeast"/>
              <w:rPr>
                <w:rFonts w:cs="Times"/>
                <w:color w:val="000000"/>
                <w:sz w:val="18"/>
                <w:lang w:val="en-US"/>
              </w:rPr>
            </w:pPr>
            <w:r>
              <w:rPr>
                <w:rFonts w:cs="Times"/>
                <w:color w:val="000000"/>
                <w:sz w:val="18"/>
                <w:lang w:val="en-US"/>
              </w:rPr>
              <w:t>“</w:t>
            </w:r>
            <w:r w:rsidRPr="00F9672B">
              <w:rPr>
                <w:rFonts w:cs="Times"/>
                <w:color w:val="000000"/>
                <w:sz w:val="18"/>
                <w:lang w:val="en-US"/>
              </w:rPr>
              <w:t xml:space="preserve">All participants agreed that they bought and consumed differently according to mood. </w:t>
            </w:r>
            <w:r>
              <w:rPr>
                <w:rFonts w:cs="Times"/>
                <w:color w:val="000000"/>
                <w:sz w:val="18"/>
                <w:lang w:val="en-US"/>
              </w:rPr>
              <w:t>“</w:t>
            </w:r>
          </w:p>
        </w:tc>
      </w:tr>
      <w:tr w:rsidR="001F6A52" w:rsidRPr="006B7C1E" w14:paraId="3ABE4FB5" w14:textId="77777777" w:rsidTr="001F6A52">
        <w:tc>
          <w:tcPr>
            <w:tcW w:w="1913" w:type="dxa"/>
          </w:tcPr>
          <w:p w14:paraId="13B09924" w14:textId="68654EE9" w:rsidR="001F6A52" w:rsidRPr="006B7C1E" w:rsidRDefault="001F6A52">
            <w:pPr>
              <w:rPr>
                <w:sz w:val="18"/>
                <w:szCs w:val="18"/>
              </w:rPr>
            </w:pPr>
            <w:r w:rsidRPr="006B7C1E">
              <w:rPr>
                <w:sz w:val="18"/>
                <w:szCs w:val="18"/>
              </w:rPr>
              <w:t>Wilson, Kaner, Crosland et al. (2013)</w:t>
            </w:r>
          </w:p>
        </w:tc>
        <w:tc>
          <w:tcPr>
            <w:tcW w:w="12654" w:type="dxa"/>
          </w:tcPr>
          <w:p w14:paraId="73D4834E" w14:textId="09794C3B" w:rsidR="001F6A52" w:rsidRPr="00F9672B" w:rsidRDefault="00F9672B" w:rsidP="00F9672B">
            <w:pPr>
              <w:pStyle w:val="ListParagraph"/>
              <w:widowControl w:val="0"/>
              <w:numPr>
                <w:ilvl w:val="0"/>
                <w:numId w:val="14"/>
              </w:numPr>
              <w:autoSpaceDE w:val="0"/>
              <w:autoSpaceDN w:val="0"/>
              <w:adjustRightInd w:val="0"/>
              <w:spacing w:after="240" w:line="280" w:lineRule="atLeast"/>
              <w:rPr>
                <w:rFonts w:cs="Times"/>
                <w:color w:val="000000"/>
                <w:sz w:val="18"/>
                <w:lang w:val="en-US"/>
              </w:rPr>
            </w:pPr>
            <w:r>
              <w:rPr>
                <w:rFonts w:cs="Times"/>
                <w:color w:val="000000"/>
                <w:sz w:val="18"/>
                <w:lang w:val="en-US"/>
              </w:rPr>
              <w:t>“</w:t>
            </w:r>
            <w:r w:rsidRPr="00F9672B">
              <w:rPr>
                <w:rFonts w:cs="Times"/>
                <w:color w:val="000000"/>
                <w:sz w:val="18"/>
                <w:lang w:val="en-US"/>
              </w:rPr>
              <w:t xml:space="preserve">Whilst specific references to gender were infrequent, the fact that they were evident at all suggests that older adults </w:t>
            </w:r>
            <w:proofErr w:type="spellStart"/>
            <w:r w:rsidRPr="00F9672B">
              <w:rPr>
                <w:rFonts w:cs="Times"/>
                <w:color w:val="000000"/>
                <w:sz w:val="18"/>
                <w:lang w:val="en-US"/>
              </w:rPr>
              <w:t>recognised</w:t>
            </w:r>
            <w:proofErr w:type="spellEnd"/>
            <w:r w:rsidRPr="00F9672B">
              <w:rPr>
                <w:rFonts w:cs="Times"/>
                <w:color w:val="000000"/>
                <w:sz w:val="18"/>
                <w:lang w:val="en-US"/>
              </w:rPr>
              <w:t xml:space="preserve"> gender-based patterns of drinking and also issues of stigma in relation to public drinking by women and deviations from male drinking stereotypes, which could challenge attempts to reduce consumption, such as drinking smaller quantities of alcohol. </w:t>
            </w:r>
            <w:r>
              <w:rPr>
                <w:rFonts w:cs="Times"/>
                <w:color w:val="000000"/>
                <w:sz w:val="18"/>
                <w:lang w:val="en-US"/>
              </w:rPr>
              <w:t>“</w:t>
            </w:r>
          </w:p>
        </w:tc>
      </w:tr>
    </w:tbl>
    <w:p w14:paraId="32376E6F" w14:textId="77777777" w:rsidR="00127990" w:rsidRDefault="00127990"/>
    <w:sectPr w:rsidR="00127990" w:rsidSect="0012799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A7A56"/>
    <w:multiLevelType w:val="hybridMultilevel"/>
    <w:tmpl w:val="19E8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5262A"/>
    <w:multiLevelType w:val="hybridMultilevel"/>
    <w:tmpl w:val="39108B8E"/>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92758E"/>
    <w:multiLevelType w:val="hybridMultilevel"/>
    <w:tmpl w:val="350681A2"/>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97D5E"/>
    <w:multiLevelType w:val="hybridMultilevel"/>
    <w:tmpl w:val="8FB808D0"/>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B3B96"/>
    <w:multiLevelType w:val="hybridMultilevel"/>
    <w:tmpl w:val="42123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342D4"/>
    <w:multiLevelType w:val="hybridMultilevel"/>
    <w:tmpl w:val="FF92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91E31"/>
    <w:multiLevelType w:val="hybridMultilevel"/>
    <w:tmpl w:val="6290BC4A"/>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366F3"/>
    <w:multiLevelType w:val="hybridMultilevel"/>
    <w:tmpl w:val="75DCE2E0"/>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F07F7"/>
    <w:multiLevelType w:val="hybridMultilevel"/>
    <w:tmpl w:val="1ED8CE40"/>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8494E"/>
    <w:multiLevelType w:val="hybridMultilevel"/>
    <w:tmpl w:val="EC7E3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5C22AB"/>
    <w:multiLevelType w:val="hybridMultilevel"/>
    <w:tmpl w:val="DEF4D2EC"/>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C78D0"/>
    <w:multiLevelType w:val="hybridMultilevel"/>
    <w:tmpl w:val="7B0A9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614F45"/>
    <w:multiLevelType w:val="hybridMultilevel"/>
    <w:tmpl w:val="C55A9606"/>
    <w:lvl w:ilvl="0" w:tplc="2EFA7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
  </w:num>
  <w:num w:numId="5">
    <w:abstractNumId w:val="6"/>
  </w:num>
  <w:num w:numId="6">
    <w:abstractNumId w:val="2"/>
  </w:num>
  <w:num w:numId="7">
    <w:abstractNumId w:val="3"/>
  </w:num>
  <w:num w:numId="8">
    <w:abstractNumId w:val="11"/>
  </w:num>
  <w:num w:numId="9">
    <w:abstractNumId w:val="9"/>
  </w:num>
  <w:num w:numId="10">
    <w:abstractNumId w:val="0"/>
  </w:num>
  <w:num w:numId="11">
    <w:abstractNumId w:val="13"/>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90"/>
    <w:rsid w:val="00127990"/>
    <w:rsid w:val="001F6A52"/>
    <w:rsid w:val="0064203B"/>
    <w:rsid w:val="006A6356"/>
    <w:rsid w:val="006B7C1E"/>
    <w:rsid w:val="008C1CEC"/>
    <w:rsid w:val="00B6055E"/>
    <w:rsid w:val="00B774D3"/>
    <w:rsid w:val="00BA135E"/>
    <w:rsid w:val="00C41DE4"/>
    <w:rsid w:val="00C94EB5"/>
    <w:rsid w:val="00D31659"/>
    <w:rsid w:val="00DC7D64"/>
    <w:rsid w:val="00F9672B"/>
    <w:rsid w:val="00FF38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AD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Parke</dc:creator>
  <cp:keywords/>
  <dc:description/>
  <cp:lastModifiedBy>John Larsen</cp:lastModifiedBy>
  <cp:revision>5</cp:revision>
  <dcterms:created xsi:type="dcterms:W3CDTF">2016-12-09T12:46:00Z</dcterms:created>
  <dcterms:modified xsi:type="dcterms:W3CDTF">2017-03-17T11:53:00Z</dcterms:modified>
</cp:coreProperties>
</file>