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CE" w:rsidRDefault="00072215">
      <w:pPr>
        <w:rPr>
          <w:rFonts w:asciiTheme="majorHAnsi" w:hAnsiTheme="majorHAnsi"/>
          <w:b/>
        </w:rPr>
      </w:pPr>
      <w:r w:rsidRPr="00783053">
        <w:rPr>
          <w:rFonts w:asciiTheme="majorHAnsi" w:hAnsiTheme="majorHAnsi"/>
          <w:b/>
        </w:rPr>
        <w:t>S</w:t>
      </w:r>
      <w:r w:rsidR="007407CE">
        <w:rPr>
          <w:rFonts w:asciiTheme="majorHAnsi" w:hAnsiTheme="majorHAnsi"/>
          <w:b/>
        </w:rPr>
        <w:t xml:space="preserve">upporting Information </w:t>
      </w:r>
      <w:r w:rsidR="00374E27">
        <w:rPr>
          <w:rFonts w:asciiTheme="majorHAnsi" w:hAnsiTheme="majorHAnsi"/>
          <w:b/>
        </w:rPr>
        <w:t>6</w:t>
      </w:r>
      <w:bookmarkStart w:id="0" w:name="_GoBack"/>
      <w:bookmarkEnd w:id="0"/>
    </w:p>
    <w:p w:rsidR="00F8437D" w:rsidRPr="00783053" w:rsidRDefault="00D13F3C">
      <w:pPr>
        <w:rPr>
          <w:rFonts w:asciiTheme="majorHAnsi" w:hAnsiTheme="majorHAnsi"/>
          <w:b/>
        </w:rPr>
      </w:pPr>
      <w:r w:rsidRPr="00783053">
        <w:rPr>
          <w:rFonts w:asciiTheme="majorHAnsi" w:hAnsiTheme="majorHAnsi"/>
          <w:b/>
        </w:rPr>
        <w:t>Illustrative Quotes</w:t>
      </w:r>
    </w:p>
    <w:p w:rsidR="00D13F3C" w:rsidRDefault="00D13F3C"/>
    <w:tbl>
      <w:tblPr>
        <w:tblStyle w:val="TableGrid"/>
        <w:tblW w:w="0" w:type="auto"/>
        <w:tblLook w:val="04A0" w:firstRow="1" w:lastRow="0" w:firstColumn="1" w:lastColumn="0" w:noHBand="0" w:noVBand="1"/>
      </w:tblPr>
      <w:tblGrid>
        <w:gridCol w:w="1326"/>
        <w:gridCol w:w="2243"/>
        <w:gridCol w:w="10605"/>
      </w:tblGrid>
      <w:tr w:rsidR="00E53C4B" w:rsidRPr="00AB369C" w:rsidTr="00865A70">
        <w:tc>
          <w:tcPr>
            <w:tcW w:w="1265" w:type="dxa"/>
          </w:tcPr>
          <w:p w:rsidR="00E53C4B" w:rsidRPr="00AB369C" w:rsidRDefault="00E53C4B" w:rsidP="001574C5">
            <w:pPr>
              <w:rPr>
                <w:rFonts w:asciiTheme="majorHAnsi" w:hAnsiTheme="majorHAnsi"/>
                <w:b/>
                <w:sz w:val="20"/>
                <w:szCs w:val="20"/>
              </w:rPr>
            </w:pPr>
            <w:r w:rsidRPr="00AB369C">
              <w:rPr>
                <w:rFonts w:asciiTheme="majorHAnsi" w:hAnsiTheme="majorHAnsi"/>
                <w:b/>
                <w:sz w:val="20"/>
                <w:szCs w:val="20"/>
              </w:rPr>
              <w:t>Theme</w:t>
            </w:r>
          </w:p>
          <w:p w:rsidR="00865A70" w:rsidRPr="00AB369C" w:rsidRDefault="00865A70" w:rsidP="001574C5">
            <w:pPr>
              <w:rPr>
                <w:rFonts w:asciiTheme="majorHAnsi" w:hAnsiTheme="majorHAnsi"/>
                <w:b/>
                <w:sz w:val="20"/>
                <w:szCs w:val="20"/>
              </w:rPr>
            </w:pPr>
          </w:p>
        </w:tc>
        <w:tc>
          <w:tcPr>
            <w:tcW w:w="2245" w:type="dxa"/>
          </w:tcPr>
          <w:p w:rsidR="00E53C4B" w:rsidRPr="00AB369C" w:rsidRDefault="00E53C4B" w:rsidP="001574C5">
            <w:pPr>
              <w:rPr>
                <w:rFonts w:asciiTheme="majorHAnsi" w:hAnsiTheme="majorHAnsi"/>
                <w:b/>
                <w:sz w:val="20"/>
                <w:szCs w:val="20"/>
              </w:rPr>
            </w:pPr>
            <w:r w:rsidRPr="00AB369C">
              <w:rPr>
                <w:rFonts w:asciiTheme="majorHAnsi" w:hAnsiTheme="majorHAnsi"/>
                <w:b/>
                <w:sz w:val="20"/>
                <w:szCs w:val="20"/>
              </w:rPr>
              <w:t>Sub-theme</w:t>
            </w:r>
          </w:p>
        </w:tc>
        <w:tc>
          <w:tcPr>
            <w:tcW w:w="10632" w:type="dxa"/>
          </w:tcPr>
          <w:p w:rsidR="00E53C4B" w:rsidRDefault="00E53C4B" w:rsidP="001574C5">
            <w:pPr>
              <w:rPr>
                <w:rFonts w:asciiTheme="majorHAnsi" w:hAnsiTheme="majorHAnsi"/>
                <w:b/>
                <w:sz w:val="20"/>
                <w:szCs w:val="20"/>
              </w:rPr>
            </w:pPr>
            <w:r w:rsidRPr="00AB369C">
              <w:rPr>
                <w:rFonts w:asciiTheme="majorHAnsi" w:hAnsiTheme="majorHAnsi"/>
                <w:b/>
                <w:sz w:val="20"/>
                <w:szCs w:val="20"/>
              </w:rPr>
              <w:t>Illustrative quotes</w:t>
            </w:r>
          </w:p>
          <w:p w:rsidR="0099049D" w:rsidRPr="00AB369C" w:rsidRDefault="0099049D" w:rsidP="001574C5">
            <w:pPr>
              <w:rPr>
                <w:rFonts w:asciiTheme="majorHAnsi" w:hAnsiTheme="majorHAnsi"/>
                <w:b/>
                <w:sz w:val="20"/>
                <w:szCs w:val="20"/>
              </w:rPr>
            </w:pPr>
            <w:r>
              <w:rPr>
                <w:rFonts w:asciiTheme="majorHAnsi" w:hAnsiTheme="majorHAnsi"/>
                <w:b/>
                <w:sz w:val="20"/>
                <w:szCs w:val="20"/>
              </w:rPr>
              <w:t xml:space="preserve">(Text in italics comes directly from study participants, non-italic text comes directly from study authors) </w:t>
            </w:r>
          </w:p>
        </w:tc>
      </w:tr>
      <w:tr w:rsidR="001574C5" w:rsidRPr="00AB369C" w:rsidTr="00865A70">
        <w:tc>
          <w:tcPr>
            <w:tcW w:w="1265" w:type="dxa"/>
            <w:vMerge w:val="restart"/>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Drinking Motivations</w:t>
            </w: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Drinking to relax and its’ distinction from drinking to cope</w:t>
            </w:r>
          </w:p>
        </w:tc>
        <w:tc>
          <w:tcPr>
            <w:tcW w:w="10632" w:type="dxa"/>
          </w:tcPr>
          <w:p w:rsidR="00937694" w:rsidRPr="00AB369C" w:rsidRDefault="00E53C4B" w:rsidP="001574C5">
            <w:pPr>
              <w:pStyle w:val="BodyText"/>
              <w:numPr>
                <w:ilvl w:val="0"/>
                <w:numId w:val="1"/>
              </w:numPr>
              <w:spacing w:before="9" w:line="249" w:lineRule="auto"/>
              <w:ind w:right="101"/>
              <w:jc w:val="both"/>
              <w:rPr>
                <w:rFonts w:asciiTheme="majorHAnsi" w:eastAsia="Arial" w:hAnsiTheme="majorHAnsi" w:cs="Arial"/>
                <w:sz w:val="20"/>
                <w:szCs w:val="20"/>
              </w:rPr>
            </w:pPr>
            <w:r w:rsidRPr="00AB369C">
              <w:rPr>
                <w:rFonts w:asciiTheme="majorHAnsi" w:hAnsiTheme="majorHAnsi"/>
                <w:color w:val="231F20"/>
                <w:sz w:val="20"/>
                <w:szCs w:val="20"/>
              </w:rPr>
              <w:t>“Wine was drunk in many cases, not to relieve stress but</w:t>
            </w:r>
            <w:r w:rsidRPr="00AB369C">
              <w:rPr>
                <w:rFonts w:asciiTheme="majorHAnsi" w:hAnsiTheme="majorHAnsi"/>
                <w:color w:val="231F20"/>
                <w:spacing w:val="-3"/>
                <w:sz w:val="20"/>
                <w:szCs w:val="20"/>
              </w:rPr>
              <w:t xml:space="preserve"> </w:t>
            </w:r>
            <w:r w:rsidRPr="00AB369C">
              <w:rPr>
                <w:rFonts w:asciiTheme="majorHAnsi" w:hAnsiTheme="majorHAnsi"/>
                <w:color w:val="231F20"/>
                <w:sz w:val="20"/>
                <w:szCs w:val="20"/>
              </w:rPr>
              <w:t>for</w:t>
            </w:r>
            <w:r w:rsidRPr="00AB369C">
              <w:rPr>
                <w:rFonts w:asciiTheme="majorHAnsi" w:hAnsiTheme="majorHAnsi"/>
                <w:color w:val="231F20"/>
                <w:spacing w:val="-2"/>
                <w:sz w:val="20"/>
                <w:szCs w:val="20"/>
              </w:rPr>
              <w:t xml:space="preserve"> </w:t>
            </w:r>
            <w:r w:rsidRPr="00AB369C">
              <w:rPr>
                <w:rFonts w:asciiTheme="majorHAnsi" w:hAnsiTheme="majorHAnsi"/>
                <w:color w:val="231F20"/>
                <w:sz w:val="20"/>
                <w:szCs w:val="20"/>
              </w:rPr>
              <w:t>the</w:t>
            </w:r>
            <w:r w:rsidRPr="00AB369C">
              <w:rPr>
                <w:rFonts w:asciiTheme="majorHAnsi" w:hAnsiTheme="majorHAnsi"/>
                <w:color w:val="231F20"/>
                <w:spacing w:val="-4"/>
                <w:sz w:val="20"/>
                <w:szCs w:val="20"/>
              </w:rPr>
              <w:t xml:space="preserve"> </w:t>
            </w:r>
            <w:r w:rsidRPr="00AB369C">
              <w:rPr>
                <w:rFonts w:asciiTheme="majorHAnsi" w:hAnsiTheme="majorHAnsi"/>
                <w:color w:val="231F20"/>
                <w:sz w:val="20"/>
                <w:szCs w:val="20"/>
              </w:rPr>
              <w:t>pleasure</w:t>
            </w:r>
            <w:r w:rsidRPr="00AB369C">
              <w:rPr>
                <w:rFonts w:asciiTheme="majorHAnsi" w:hAnsiTheme="majorHAnsi"/>
                <w:color w:val="231F20"/>
                <w:spacing w:val="-3"/>
                <w:sz w:val="20"/>
                <w:szCs w:val="20"/>
              </w:rPr>
              <w:t xml:space="preserve"> </w:t>
            </w:r>
            <w:r w:rsidRPr="00AB369C">
              <w:rPr>
                <w:rFonts w:asciiTheme="majorHAnsi" w:hAnsiTheme="majorHAnsi"/>
                <w:color w:val="231F20"/>
                <w:sz w:val="20"/>
                <w:szCs w:val="20"/>
              </w:rPr>
              <w:t>it</w:t>
            </w:r>
            <w:r w:rsidRPr="00AB369C">
              <w:rPr>
                <w:rFonts w:asciiTheme="majorHAnsi" w:hAnsiTheme="majorHAnsi"/>
                <w:color w:val="231F20"/>
                <w:spacing w:val="-2"/>
                <w:sz w:val="20"/>
                <w:szCs w:val="20"/>
              </w:rPr>
              <w:t xml:space="preserve"> </w:t>
            </w:r>
            <w:r w:rsidRPr="00AB369C">
              <w:rPr>
                <w:rFonts w:asciiTheme="majorHAnsi" w:hAnsiTheme="majorHAnsi"/>
                <w:color w:val="231F20"/>
                <w:sz w:val="20"/>
                <w:szCs w:val="20"/>
              </w:rPr>
              <w:t>gave:</w:t>
            </w:r>
            <w:r w:rsidRPr="00AB369C">
              <w:rPr>
                <w:rFonts w:asciiTheme="majorHAnsi" w:hAnsiTheme="majorHAnsi"/>
                <w:color w:val="231F20"/>
                <w:spacing w:val="-3"/>
                <w:sz w:val="20"/>
                <w:szCs w:val="20"/>
              </w:rPr>
              <w:t xml:space="preserve"> </w:t>
            </w:r>
            <w:r w:rsidRPr="00AB369C">
              <w:rPr>
                <w:rFonts w:asciiTheme="majorHAnsi" w:hAnsiTheme="majorHAnsi"/>
                <w:color w:val="231F20"/>
                <w:sz w:val="20"/>
                <w:szCs w:val="20"/>
              </w:rPr>
              <w:t>thus,</w:t>
            </w:r>
            <w:r w:rsidRPr="00AB369C">
              <w:rPr>
                <w:rFonts w:asciiTheme="majorHAnsi" w:hAnsiTheme="majorHAnsi"/>
                <w:color w:val="231F20"/>
                <w:spacing w:val="-2"/>
                <w:sz w:val="20"/>
                <w:szCs w:val="20"/>
              </w:rPr>
              <w:t xml:space="preserve"> </w:t>
            </w:r>
            <w:r w:rsidRPr="00AB369C">
              <w:rPr>
                <w:rFonts w:asciiTheme="majorHAnsi" w:hAnsiTheme="majorHAnsi"/>
                <w:color w:val="231F20"/>
                <w:sz w:val="20"/>
                <w:szCs w:val="20"/>
              </w:rPr>
              <w:t>in</w:t>
            </w:r>
            <w:r w:rsidRPr="00AB369C">
              <w:rPr>
                <w:rFonts w:asciiTheme="majorHAnsi" w:hAnsiTheme="majorHAnsi"/>
                <w:color w:val="231F20"/>
                <w:spacing w:val="-3"/>
                <w:sz w:val="20"/>
                <w:szCs w:val="20"/>
              </w:rPr>
              <w:t xml:space="preserve"> </w:t>
            </w:r>
            <w:r w:rsidRPr="00AB369C">
              <w:rPr>
                <w:rFonts w:asciiTheme="majorHAnsi" w:hAnsiTheme="majorHAnsi"/>
                <w:color w:val="231F20"/>
                <w:sz w:val="20"/>
                <w:szCs w:val="20"/>
              </w:rPr>
              <w:t>response</w:t>
            </w:r>
            <w:r w:rsidRPr="00AB369C">
              <w:rPr>
                <w:rFonts w:asciiTheme="majorHAnsi" w:hAnsiTheme="majorHAnsi"/>
                <w:color w:val="231F20"/>
                <w:spacing w:val="-3"/>
                <w:sz w:val="20"/>
                <w:szCs w:val="20"/>
              </w:rPr>
              <w:t xml:space="preserve"> </w:t>
            </w:r>
            <w:r w:rsidRPr="00AB369C">
              <w:rPr>
                <w:rFonts w:asciiTheme="majorHAnsi" w:hAnsiTheme="majorHAnsi"/>
                <w:color w:val="231F20"/>
                <w:sz w:val="20"/>
                <w:szCs w:val="20"/>
              </w:rPr>
              <w:t>to</w:t>
            </w:r>
            <w:r w:rsidRPr="00AB369C">
              <w:rPr>
                <w:rFonts w:asciiTheme="majorHAnsi" w:hAnsiTheme="majorHAnsi"/>
                <w:color w:val="231F20"/>
                <w:spacing w:val="-4"/>
                <w:sz w:val="20"/>
                <w:szCs w:val="20"/>
              </w:rPr>
              <w:t xml:space="preserve"> </w:t>
            </w:r>
            <w:r w:rsidRPr="00AB369C">
              <w:rPr>
                <w:rFonts w:asciiTheme="majorHAnsi" w:hAnsiTheme="majorHAnsi"/>
                <w:color w:val="231F20"/>
                <w:sz w:val="20"/>
                <w:szCs w:val="20"/>
              </w:rPr>
              <w:t>the</w:t>
            </w:r>
            <w:r w:rsidRPr="00AB369C">
              <w:rPr>
                <w:rFonts w:asciiTheme="majorHAnsi" w:hAnsiTheme="majorHAnsi"/>
                <w:color w:val="231F20"/>
                <w:spacing w:val="-2"/>
                <w:sz w:val="20"/>
                <w:szCs w:val="20"/>
              </w:rPr>
              <w:t xml:space="preserve"> </w:t>
            </w:r>
            <w:r w:rsidRPr="00AB369C">
              <w:rPr>
                <w:rFonts w:asciiTheme="majorHAnsi" w:hAnsiTheme="majorHAnsi"/>
                <w:color w:val="231F20"/>
                <w:sz w:val="20"/>
                <w:szCs w:val="20"/>
              </w:rPr>
              <w:t>query,</w:t>
            </w:r>
            <w:r w:rsidRPr="00AB369C">
              <w:rPr>
                <w:rFonts w:asciiTheme="majorHAnsi" w:hAnsiTheme="majorHAnsi"/>
                <w:color w:val="231F20"/>
                <w:spacing w:val="-2"/>
                <w:sz w:val="20"/>
                <w:szCs w:val="20"/>
              </w:rPr>
              <w:t xml:space="preserve"> </w:t>
            </w:r>
            <w:r w:rsidRPr="00AB369C">
              <w:rPr>
                <w:rFonts w:asciiTheme="majorHAnsi" w:eastAsia="Arial" w:hAnsiTheme="majorHAnsi" w:cs="Arial"/>
                <w:color w:val="231F20"/>
                <w:sz w:val="20"/>
                <w:szCs w:val="20"/>
              </w:rPr>
              <w:t>‘</w:t>
            </w:r>
            <w:r w:rsidRPr="00AB369C">
              <w:rPr>
                <w:rFonts w:asciiTheme="majorHAnsi" w:hAnsiTheme="majorHAnsi"/>
                <w:i/>
                <w:color w:val="231F20"/>
                <w:sz w:val="20"/>
                <w:szCs w:val="20"/>
              </w:rPr>
              <w:t>do</w:t>
            </w:r>
            <w:r w:rsidRPr="00AB369C">
              <w:rPr>
                <w:rFonts w:asciiTheme="majorHAnsi" w:hAnsiTheme="majorHAnsi"/>
                <w:i/>
                <w:color w:val="231F20"/>
                <w:spacing w:val="-3"/>
                <w:sz w:val="20"/>
                <w:szCs w:val="20"/>
              </w:rPr>
              <w:t xml:space="preserve"> </w:t>
            </w:r>
            <w:r w:rsidRPr="00AB369C">
              <w:rPr>
                <w:rFonts w:asciiTheme="majorHAnsi" w:hAnsiTheme="majorHAnsi"/>
                <w:i/>
                <w:color w:val="231F20"/>
                <w:sz w:val="20"/>
                <w:szCs w:val="20"/>
              </w:rPr>
              <w:t>you</w:t>
            </w:r>
            <w:r w:rsidRPr="00AB369C">
              <w:rPr>
                <w:rFonts w:asciiTheme="majorHAnsi" w:hAnsiTheme="majorHAnsi"/>
                <w:i/>
                <w:color w:val="231F20"/>
                <w:spacing w:val="-2"/>
                <w:sz w:val="20"/>
                <w:szCs w:val="20"/>
              </w:rPr>
              <w:t xml:space="preserve"> </w:t>
            </w:r>
            <w:r w:rsidRPr="00AB369C">
              <w:rPr>
                <w:rFonts w:asciiTheme="majorHAnsi" w:hAnsiTheme="majorHAnsi"/>
                <w:i/>
                <w:color w:val="231F20"/>
                <w:sz w:val="20"/>
                <w:szCs w:val="20"/>
              </w:rPr>
              <w:t>drink</w:t>
            </w:r>
            <w:r w:rsidRPr="00AB369C">
              <w:rPr>
                <w:rFonts w:asciiTheme="majorHAnsi" w:hAnsiTheme="majorHAnsi"/>
                <w:i/>
                <w:color w:val="231F20"/>
                <w:spacing w:val="-3"/>
                <w:sz w:val="20"/>
                <w:szCs w:val="20"/>
              </w:rPr>
              <w:t xml:space="preserve"> </w:t>
            </w:r>
            <w:r w:rsidRPr="00AB369C">
              <w:rPr>
                <w:rFonts w:asciiTheme="majorHAnsi" w:hAnsiTheme="majorHAnsi"/>
                <w:i/>
                <w:color w:val="231F20"/>
                <w:sz w:val="20"/>
                <w:szCs w:val="20"/>
              </w:rPr>
              <w:t>at</w:t>
            </w:r>
            <w:r w:rsidRPr="00AB369C">
              <w:rPr>
                <w:rFonts w:asciiTheme="majorHAnsi" w:hAnsiTheme="majorHAnsi"/>
                <w:i/>
                <w:color w:val="231F20"/>
                <w:spacing w:val="-3"/>
                <w:sz w:val="20"/>
                <w:szCs w:val="20"/>
              </w:rPr>
              <w:t xml:space="preserve"> </w:t>
            </w:r>
            <w:r w:rsidRPr="00AB369C">
              <w:rPr>
                <w:rFonts w:asciiTheme="majorHAnsi" w:hAnsiTheme="majorHAnsi"/>
                <w:i/>
                <w:color w:val="231F20"/>
                <w:sz w:val="20"/>
                <w:szCs w:val="20"/>
              </w:rPr>
              <w:t>home</w:t>
            </w:r>
            <w:r w:rsidRPr="00AB369C">
              <w:rPr>
                <w:rFonts w:asciiTheme="majorHAnsi" w:hAnsiTheme="majorHAnsi"/>
                <w:i/>
                <w:color w:val="231F20"/>
                <w:spacing w:val="-2"/>
                <w:sz w:val="20"/>
                <w:szCs w:val="20"/>
              </w:rPr>
              <w:t xml:space="preserve"> </w:t>
            </w:r>
            <w:r w:rsidRPr="00AB369C">
              <w:rPr>
                <w:rFonts w:asciiTheme="majorHAnsi" w:hAnsiTheme="majorHAnsi"/>
                <w:i/>
                <w:color w:val="231F20"/>
                <w:sz w:val="20"/>
                <w:szCs w:val="20"/>
              </w:rPr>
              <w:t>for</w:t>
            </w:r>
            <w:r w:rsidRPr="00AB369C">
              <w:rPr>
                <w:rFonts w:asciiTheme="majorHAnsi" w:hAnsiTheme="majorHAnsi"/>
                <w:i/>
                <w:color w:val="231F20"/>
                <w:spacing w:val="-2"/>
                <w:sz w:val="20"/>
                <w:szCs w:val="20"/>
              </w:rPr>
              <w:t xml:space="preserve"> </w:t>
            </w:r>
            <w:r w:rsidRPr="00AB369C">
              <w:rPr>
                <w:rFonts w:asciiTheme="majorHAnsi" w:eastAsia="Arial" w:hAnsiTheme="majorHAnsi" w:cs="Arial"/>
                <w:i/>
                <w:color w:val="231F20"/>
                <w:sz w:val="20"/>
                <w:szCs w:val="20"/>
              </w:rPr>
              <w:t>…</w:t>
            </w:r>
            <w:r w:rsidRPr="00AB369C">
              <w:rPr>
                <w:rFonts w:asciiTheme="majorHAnsi" w:eastAsia="Arial" w:hAnsiTheme="majorHAnsi" w:cs="Arial"/>
                <w:i/>
                <w:color w:val="231F20"/>
                <w:spacing w:val="-9"/>
                <w:sz w:val="20"/>
                <w:szCs w:val="20"/>
              </w:rPr>
              <w:t xml:space="preserve"> </w:t>
            </w:r>
            <w:r w:rsidRPr="00AB369C">
              <w:rPr>
                <w:rFonts w:asciiTheme="majorHAnsi" w:hAnsiTheme="majorHAnsi"/>
                <w:i/>
                <w:color w:val="231F20"/>
                <w:sz w:val="20"/>
                <w:szCs w:val="20"/>
              </w:rPr>
              <w:t>the</w:t>
            </w:r>
            <w:r w:rsidRPr="00AB369C">
              <w:rPr>
                <w:rFonts w:asciiTheme="majorHAnsi" w:hAnsiTheme="majorHAnsi"/>
                <w:i/>
                <w:color w:val="231F20"/>
                <w:spacing w:val="-2"/>
                <w:sz w:val="20"/>
                <w:szCs w:val="20"/>
              </w:rPr>
              <w:t xml:space="preserve"> </w:t>
            </w:r>
            <w:r w:rsidRPr="00AB369C">
              <w:rPr>
                <w:rFonts w:asciiTheme="majorHAnsi" w:hAnsiTheme="majorHAnsi"/>
                <w:i/>
                <w:color w:val="231F20"/>
                <w:sz w:val="20"/>
                <w:szCs w:val="20"/>
              </w:rPr>
              <w:t>stress thing,</w:t>
            </w:r>
            <w:r w:rsidRPr="00AB369C">
              <w:rPr>
                <w:rFonts w:asciiTheme="majorHAnsi" w:hAnsiTheme="majorHAnsi"/>
                <w:i/>
                <w:color w:val="231F20"/>
                <w:spacing w:val="-5"/>
                <w:sz w:val="20"/>
                <w:szCs w:val="20"/>
              </w:rPr>
              <w:t xml:space="preserve"> </w:t>
            </w:r>
            <w:r w:rsidRPr="00AB369C">
              <w:rPr>
                <w:rFonts w:asciiTheme="majorHAnsi" w:hAnsiTheme="majorHAnsi"/>
                <w:i/>
                <w:color w:val="231F20"/>
                <w:sz w:val="20"/>
                <w:szCs w:val="20"/>
              </w:rPr>
              <w:t>or</w:t>
            </w:r>
            <w:r w:rsidRPr="00AB369C">
              <w:rPr>
                <w:rFonts w:asciiTheme="majorHAnsi" w:hAnsiTheme="majorHAnsi"/>
                <w:i/>
                <w:color w:val="231F20"/>
                <w:spacing w:val="-7"/>
                <w:sz w:val="20"/>
                <w:szCs w:val="20"/>
              </w:rPr>
              <w:t xml:space="preserve"> </w:t>
            </w:r>
            <w:r w:rsidRPr="00AB369C">
              <w:rPr>
                <w:rFonts w:asciiTheme="majorHAnsi" w:hAnsiTheme="majorHAnsi"/>
                <w:i/>
                <w:color w:val="231F20"/>
                <w:sz w:val="20"/>
                <w:szCs w:val="20"/>
              </w:rPr>
              <w:t>do</w:t>
            </w:r>
            <w:r w:rsidRPr="00AB369C">
              <w:rPr>
                <w:rFonts w:asciiTheme="majorHAnsi" w:hAnsiTheme="majorHAnsi"/>
                <w:i/>
                <w:color w:val="231F20"/>
                <w:spacing w:val="-6"/>
                <w:sz w:val="20"/>
                <w:szCs w:val="20"/>
              </w:rPr>
              <w:t xml:space="preserve"> </w:t>
            </w:r>
            <w:r w:rsidRPr="00AB369C">
              <w:rPr>
                <w:rFonts w:asciiTheme="majorHAnsi" w:hAnsiTheme="majorHAnsi"/>
                <w:i/>
                <w:color w:val="231F20"/>
                <w:sz w:val="20"/>
                <w:szCs w:val="20"/>
              </w:rPr>
              <w:t>you</w:t>
            </w:r>
            <w:r w:rsidRPr="00AB369C">
              <w:rPr>
                <w:rFonts w:asciiTheme="majorHAnsi" w:hAnsiTheme="majorHAnsi"/>
                <w:i/>
                <w:color w:val="231F20"/>
                <w:spacing w:val="-7"/>
                <w:sz w:val="20"/>
                <w:szCs w:val="20"/>
              </w:rPr>
              <w:t xml:space="preserve"> </w:t>
            </w:r>
            <w:r w:rsidRPr="00AB369C">
              <w:rPr>
                <w:rFonts w:asciiTheme="majorHAnsi" w:hAnsiTheme="majorHAnsi"/>
                <w:i/>
                <w:color w:val="231F20"/>
                <w:sz w:val="20"/>
                <w:szCs w:val="20"/>
              </w:rPr>
              <w:t>enjoy</w:t>
            </w:r>
            <w:r w:rsidRPr="00AB369C">
              <w:rPr>
                <w:rFonts w:asciiTheme="majorHAnsi" w:hAnsiTheme="majorHAnsi"/>
                <w:i/>
                <w:color w:val="231F20"/>
                <w:spacing w:val="-6"/>
                <w:sz w:val="20"/>
                <w:szCs w:val="20"/>
              </w:rPr>
              <w:t xml:space="preserve"> </w:t>
            </w:r>
            <w:r w:rsidRPr="00AB369C">
              <w:rPr>
                <w:rFonts w:asciiTheme="majorHAnsi" w:hAnsiTheme="majorHAnsi"/>
                <w:i/>
                <w:color w:val="231F20"/>
                <w:sz w:val="20"/>
                <w:szCs w:val="20"/>
              </w:rPr>
              <w:t>it?</w:t>
            </w:r>
            <w:r w:rsidRPr="00AB369C">
              <w:rPr>
                <w:rFonts w:asciiTheme="majorHAnsi" w:eastAsia="Arial" w:hAnsiTheme="majorHAnsi" w:cs="Arial"/>
                <w:color w:val="231F20"/>
                <w:sz w:val="20"/>
                <w:szCs w:val="20"/>
              </w:rPr>
              <w:t>’</w:t>
            </w:r>
            <w:r w:rsidRPr="00AB369C">
              <w:rPr>
                <w:rFonts w:asciiTheme="majorHAnsi" w:eastAsia="Arial" w:hAnsiTheme="majorHAnsi" w:cs="Arial"/>
                <w:color w:val="231F20"/>
                <w:spacing w:val="-12"/>
                <w:sz w:val="20"/>
                <w:szCs w:val="20"/>
              </w:rPr>
              <w:t xml:space="preserve"> </w:t>
            </w:r>
            <w:r w:rsidRPr="00AB369C">
              <w:rPr>
                <w:rFonts w:asciiTheme="majorHAnsi" w:hAnsiTheme="majorHAnsi"/>
                <w:color w:val="231F20"/>
                <w:sz w:val="20"/>
                <w:szCs w:val="20"/>
              </w:rPr>
              <w:t>the</w:t>
            </w:r>
            <w:r w:rsidRPr="00AB369C">
              <w:rPr>
                <w:rFonts w:asciiTheme="majorHAnsi" w:hAnsiTheme="majorHAnsi"/>
                <w:color w:val="231F20"/>
                <w:spacing w:val="-6"/>
                <w:sz w:val="20"/>
                <w:szCs w:val="20"/>
              </w:rPr>
              <w:t xml:space="preserve"> </w:t>
            </w:r>
            <w:r w:rsidRPr="00AB369C">
              <w:rPr>
                <w:rFonts w:asciiTheme="majorHAnsi" w:hAnsiTheme="majorHAnsi"/>
                <w:color w:val="231F20"/>
                <w:sz w:val="20"/>
                <w:szCs w:val="20"/>
              </w:rPr>
              <w:t>answer</w:t>
            </w:r>
            <w:r w:rsidRPr="00AB369C">
              <w:rPr>
                <w:rFonts w:asciiTheme="majorHAnsi" w:hAnsiTheme="majorHAnsi"/>
                <w:color w:val="231F20"/>
                <w:spacing w:val="-6"/>
                <w:sz w:val="20"/>
                <w:szCs w:val="20"/>
              </w:rPr>
              <w:t xml:space="preserve"> </w:t>
            </w:r>
            <w:r w:rsidRPr="00AB369C">
              <w:rPr>
                <w:rFonts w:asciiTheme="majorHAnsi" w:hAnsiTheme="majorHAnsi"/>
                <w:color w:val="231F20"/>
                <w:sz w:val="20"/>
                <w:szCs w:val="20"/>
              </w:rPr>
              <w:t>was</w:t>
            </w:r>
            <w:r w:rsidRPr="00AB369C">
              <w:rPr>
                <w:rFonts w:asciiTheme="majorHAnsi" w:hAnsiTheme="majorHAnsi"/>
                <w:color w:val="231F20"/>
                <w:spacing w:val="-6"/>
                <w:sz w:val="20"/>
                <w:szCs w:val="20"/>
              </w:rPr>
              <w:t xml:space="preserve"> </w:t>
            </w:r>
            <w:r w:rsidRPr="00AB369C">
              <w:rPr>
                <w:rFonts w:asciiTheme="majorHAnsi" w:eastAsia="Arial" w:hAnsiTheme="majorHAnsi" w:cs="Arial"/>
                <w:color w:val="231F20"/>
                <w:sz w:val="20"/>
                <w:szCs w:val="20"/>
              </w:rPr>
              <w:t>‘</w:t>
            </w:r>
            <w:r w:rsidRPr="00AB369C">
              <w:rPr>
                <w:rFonts w:asciiTheme="majorHAnsi" w:hAnsiTheme="majorHAnsi"/>
                <w:i/>
                <w:color w:val="231F20"/>
                <w:sz w:val="20"/>
                <w:szCs w:val="20"/>
              </w:rPr>
              <w:t>I</w:t>
            </w:r>
            <w:r w:rsidRPr="00AB369C">
              <w:rPr>
                <w:rFonts w:asciiTheme="majorHAnsi" w:hAnsiTheme="majorHAnsi"/>
                <w:i/>
                <w:color w:val="231F20"/>
                <w:spacing w:val="-7"/>
                <w:sz w:val="20"/>
                <w:szCs w:val="20"/>
              </w:rPr>
              <w:t xml:space="preserve"> </w:t>
            </w:r>
            <w:r w:rsidRPr="00AB369C">
              <w:rPr>
                <w:rFonts w:asciiTheme="majorHAnsi" w:hAnsiTheme="majorHAnsi"/>
                <w:i/>
                <w:color w:val="231F20"/>
                <w:sz w:val="20"/>
                <w:szCs w:val="20"/>
              </w:rPr>
              <w:t>just</w:t>
            </w:r>
            <w:r w:rsidRPr="00AB369C">
              <w:rPr>
                <w:rFonts w:asciiTheme="majorHAnsi" w:hAnsiTheme="majorHAnsi"/>
                <w:i/>
                <w:color w:val="231F20"/>
                <w:spacing w:val="-5"/>
                <w:sz w:val="20"/>
                <w:szCs w:val="20"/>
              </w:rPr>
              <w:t xml:space="preserve"> </w:t>
            </w:r>
            <w:r w:rsidRPr="00AB369C">
              <w:rPr>
                <w:rFonts w:asciiTheme="majorHAnsi" w:hAnsiTheme="majorHAnsi"/>
                <w:i/>
                <w:color w:val="231F20"/>
                <w:sz w:val="20"/>
                <w:szCs w:val="20"/>
              </w:rPr>
              <w:t>enjoy</w:t>
            </w:r>
            <w:r w:rsidRPr="00AB369C">
              <w:rPr>
                <w:rFonts w:asciiTheme="majorHAnsi" w:hAnsiTheme="majorHAnsi"/>
                <w:i/>
                <w:color w:val="231F20"/>
                <w:spacing w:val="-6"/>
                <w:sz w:val="20"/>
                <w:szCs w:val="20"/>
              </w:rPr>
              <w:t xml:space="preserve"> </w:t>
            </w:r>
            <w:r w:rsidRPr="00AB369C">
              <w:rPr>
                <w:rFonts w:asciiTheme="majorHAnsi" w:hAnsiTheme="majorHAnsi"/>
                <w:i/>
                <w:color w:val="231F20"/>
                <w:sz w:val="20"/>
                <w:szCs w:val="20"/>
              </w:rPr>
              <w:t>it.</w:t>
            </w:r>
            <w:r w:rsidRPr="00AB369C">
              <w:rPr>
                <w:rFonts w:asciiTheme="majorHAnsi" w:eastAsia="Arial" w:hAnsiTheme="majorHAnsi" w:cs="Arial"/>
                <w:color w:val="231F20"/>
                <w:sz w:val="20"/>
                <w:szCs w:val="20"/>
              </w:rPr>
              <w:t>’</w:t>
            </w:r>
            <w:r w:rsidRPr="00AB369C">
              <w:rPr>
                <w:rFonts w:asciiTheme="majorHAnsi" w:eastAsia="Arial" w:hAnsiTheme="majorHAnsi" w:cs="Arial"/>
                <w:color w:val="231F20"/>
                <w:spacing w:val="-11"/>
                <w:sz w:val="20"/>
                <w:szCs w:val="20"/>
              </w:rPr>
              <w:t xml:space="preserve"> </w:t>
            </w:r>
            <w:r w:rsidR="005673A6" w:rsidRPr="00AB369C">
              <w:rPr>
                <w:rFonts w:asciiTheme="majorHAnsi" w:hAnsiTheme="majorHAnsi"/>
                <w:color w:val="231F20"/>
                <w:sz w:val="20"/>
                <w:szCs w:val="20"/>
              </w:rPr>
              <w:t>(M</w:t>
            </w:r>
            <w:r w:rsidRPr="00AB369C">
              <w:rPr>
                <w:rFonts w:asciiTheme="majorHAnsi" w:hAnsiTheme="majorHAnsi"/>
                <w:color w:val="231F20"/>
                <w:sz w:val="20"/>
                <w:szCs w:val="20"/>
              </w:rPr>
              <w:t>ale,</w:t>
            </w:r>
            <w:r w:rsidRPr="00AB369C">
              <w:rPr>
                <w:rFonts w:asciiTheme="majorHAnsi" w:hAnsiTheme="majorHAnsi"/>
                <w:color w:val="231F20"/>
                <w:spacing w:val="-7"/>
                <w:sz w:val="20"/>
                <w:szCs w:val="20"/>
              </w:rPr>
              <w:t xml:space="preserve"> </w:t>
            </w:r>
            <w:r w:rsidRPr="00AB369C">
              <w:rPr>
                <w:rFonts w:asciiTheme="majorHAnsi" w:hAnsiTheme="majorHAnsi"/>
                <w:color w:val="231F20"/>
                <w:sz w:val="20"/>
                <w:szCs w:val="20"/>
              </w:rPr>
              <w:t>home</w:t>
            </w:r>
            <w:r w:rsidRPr="00AB369C">
              <w:rPr>
                <w:rFonts w:asciiTheme="majorHAnsi" w:hAnsiTheme="majorHAnsi"/>
                <w:color w:val="231F20"/>
                <w:spacing w:val="-6"/>
                <w:sz w:val="20"/>
                <w:szCs w:val="20"/>
              </w:rPr>
              <w:t xml:space="preserve"> </w:t>
            </w:r>
            <w:r w:rsidRPr="00AB369C">
              <w:rPr>
                <w:rFonts w:asciiTheme="majorHAnsi" w:hAnsiTheme="majorHAnsi"/>
                <w:color w:val="231F20"/>
                <w:sz w:val="20"/>
                <w:szCs w:val="20"/>
              </w:rPr>
              <w:t xml:space="preserve">drinker).” </w:t>
            </w:r>
            <w:r w:rsidRPr="00AB369C">
              <w:rPr>
                <w:rFonts w:asciiTheme="majorHAnsi" w:eastAsia="Arial" w:hAnsiTheme="majorHAnsi" w:cs="Arial"/>
                <w:sz w:val="20"/>
                <w:szCs w:val="20"/>
              </w:rPr>
              <w:t>Brierley-Jones et al., 2014</w:t>
            </w:r>
          </w:p>
          <w:p w:rsidR="001574C5" w:rsidRPr="00AB369C" w:rsidRDefault="00B45494" w:rsidP="001574C5">
            <w:pPr>
              <w:pStyle w:val="BodyText"/>
              <w:numPr>
                <w:ilvl w:val="0"/>
                <w:numId w:val="1"/>
              </w:numPr>
              <w:spacing w:before="9" w:line="249" w:lineRule="auto"/>
              <w:ind w:right="101"/>
              <w:jc w:val="both"/>
              <w:rPr>
                <w:rFonts w:asciiTheme="majorHAnsi" w:eastAsia="Arial" w:hAnsiTheme="majorHAnsi" w:cs="Arial"/>
                <w:sz w:val="20"/>
                <w:szCs w:val="20"/>
              </w:rPr>
            </w:pPr>
            <w:r w:rsidRPr="00AB369C">
              <w:rPr>
                <w:rFonts w:asciiTheme="majorHAnsi" w:hAnsiTheme="majorHAnsi"/>
                <w:w w:val="105"/>
                <w:sz w:val="20"/>
                <w:szCs w:val="20"/>
              </w:rPr>
              <w:t>“A separate stage of problematic drinking, in contrast, involved an escalation to more and stronger alcohol than he had drunk previously in order to cope” Wilson et al., 2013</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Drinking to socialise and its’ importance in establishing and maintaining friendships</w:t>
            </w:r>
          </w:p>
        </w:tc>
        <w:tc>
          <w:tcPr>
            <w:tcW w:w="10632" w:type="dxa"/>
          </w:tcPr>
          <w:p w:rsidR="00937694" w:rsidRPr="00AB369C" w:rsidRDefault="00B45494" w:rsidP="001574C5">
            <w:pPr>
              <w:pStyle w:val="ListParagraph"/>
              <w:numPr>
                <w:ilvl w:val="0"/>
                <w:numId w:val="2"/>
              </w:numPr>
              <w:rPr>
                <w:rFonts w:asciiTheme="majorHAnsi" w:hAnsiTheme="majorHAnsi"/>
                <w:color w:val="231F20"/>
                <w:sz w:val="20"/>
                <w:szCs w:val="20"/>
              </w:rPr>
            </w:pPr>
            <w:r w:rsidRPr="00AB369C">
              <w:rPr>
                <w:rFonts w:asciiTheme="majorHAnsi" w:hAnsiTheme="majorHAnsi"/>
                <w:color w:val="231F20"/>
                <w:sz w:val="20"/>
                <w:szCs w:val="20"/>
              </w:rPr>
              <w:t>“Going out drinking together was widely constructed as the “</w:t>
            </w:r>
            <w:r w:rsidRPr="00AB369C">
              <w:rPr>
                <w:rFonts w:asciiTheme="majorHAnsi" w:hAnsiTheme="majorHAnsi"/>
                <w:i/>
                <w:color w:val="231F20"/>
                <w:sz w:val="20"/>
                <w:szCs w:val="20"/>
              </w:rPr>
              <w:t>natural</w:t>
            </w:r>
            <w:r w:rsidRPr="00AB369C">
              <w:rPr>
                <w:rFonts w:asciiTheme="majorHAnsi" w:hAnsiTheme="majorHAnsi"/>
                <w:color w:val="231F20"/>
                <w:sz w:val="20"/>
                <w:szCs w:val="20"/>
              </w:rPr>
              <w:t>” way for men to socialize and to enact their ties</w:t>
            </w:r>
            <w:r w:rsidRPr="00AB369C">
              <w:rPr>
                <w:rFonts w:asciiTheme="majorHAnsi" w:hAnsiTheme="majorHAnsi"/>
                <w:color w:val="231F20"/>
                <w:spacing w:val="22"/>
                <w:sz w:val="20"/>
                <w:szCs w:val="20"/>
              </w:rPr>
              <w:t xml:space="preserve"> </w:t>
            </w:r>
            <w:r w:rsidRPr="00AB369C">
              <w:rPr>
                <w:rFonts w:asciiTheme="majorHAnsi" w:hAnsiTheme="majorHAnsi"/>
                <w:color w:val="231F20"/>
                <w:sz w:val="20"/>
                <w:szCs w:val="20"/>
              </w:rPr>
              <w:t>of</w:t>
            </w:r>
            <w:r w:rsidRPr="00AB369C">
              <w:rPr>
                <w:rFonts w:asciiTheme="majorHAnsi" w:hAnsiTheme="majorHAnsi"/>
                <w:color w:val="231F20"/>
                <w:spacing w:val="2"/>
                <w:sz w:val="20"/>
                <w:szCs w:val="20"/>
              </w:rPr>
              <w:t xml:space="preserve"> </w:t>
            </w:r>
            <w:r w:rsidRPr="00AB369C">
              <w:rPr>
                <w:rFonts w:asciiTheme="majorHAnsi" w:hAnsiTheme="majorHAnsi"/>
                <w:color w:val="231F20"/>
                <w:sz w:val="20"/>
                <w:szCs w:val="20"/>
              </w:rPr>
              <w:t>(male) friendship” Emslie, Hunt &amp; Lyons 2013</w:t>
            </w:r>
          </w:p>
          <w:p w:rsidR="00B45494" w:rsidRPr="00AB369C" w:rsidRDefault="004F7E1B" w:rsidP="001574C5">
            <w:pPr>
              <w:pStyle w:val="ListParagraph"/>
              <w:numPr>
                <w:ilvl w:val="0"/>
                <w:numId w:val="2"/>
              </w:numPr>
              <w:rPr>
                <w:rFonts w:asciiTheme="majorHAnsi" w:hAnsiTheme="majorHAnsi"/>
                <w:color w:val="231F20"/>
                <w:sz w:val="20"/>
                <w:szCs w:val="20"/>
              </w:rPr>
            </w:pPr>
            <w:r w:rsidRPr="00AB369C">
              <w:rPr>
                <w:rFonts w:asciiTheme="majorHAnsi" w:hAnsiTheme="majorHAnsi"/>
                <w:color w:val="231F20"/>
                <w:sz w:val="20"/>
                <w:szCs w:val="20"/>
              </w:rPr>
              <w:t>“Often referred to was [the pub’s] function as a place where relationships were maintained, where you ‘</w:t>
            </w:r>
            <w:r w:rsidRPr="00AB369C">
              <w:rPr>
                <w:rFonts w:asciiTheme="majorHAnsi" w:hAnsiTheme="majorHAnsi"/>
                <w:i/>
                <w:color w:val="231F20"/>
                <w:sz w:val="20"/>
                <w:szCs w:val="20"/>
              </w:rPr>
              <w:t>bump into’</w:t>
            </w:r>
            <w:r w:rsidRPr="00AB369C">
              <w:rPr>
                <w:rFonts w:asciiTheme="majorHAnsi" w:hAnsiTheme="majorHAnsi"/>
                <w:color w:val="231F20"/>
                <w:sz w:val="20"/>
                <w:szCs w:val="20"/>
              </w:rPr>
              <w:t>, ‘</w:t>
            </w:r>
            <w:r w:rsidRPr="00AB369C">
              <w:rPr>
                <w:rFonts w:asciiTheme="majorHAnsi" w:hAnsiTheme="majorHAnsi"/>
                <w:i/>
                <w:color w:val="231F20"/>
                <w:sz w:val="20"/>
                <w:szCs w:val="20"/>
              </w:rPr>
              <w:t>catch up with</w:t>
            </w:r>
            <w:r w:rsidRPr="00AB369C">
              <w:rPr>
                <w:rFonts w:asciiTheme="majorHAnsi" w:hAnsiTheme="majorHAnsi"/>
                <w:color w:val="231F20"/>
                <w:sz w:val="20"/>
                <w:szCs w:val="20"/>
              </w:rPr>
              <w:t>’ or ‘</w:t>
            </w:r>
            <w:r w:rsidRPr="00AB369C">
              <w:rPr>
                <w:rFonts w:asciiTheme="majorHAnsi" w:hAnsiTheme="majorHAnsi"/>
                <w:i/>
                <w:color w:val="231F20"/>
                <w:sz w:val="20"/>
                <w:szCs w:val="20"/>
              </w:rPr>
              <w:t>swap gossip with</w:t>
            </w:r>
            <w:r w:rsidRPr="00AB369C">
              <w:rPr>
                <w:rFonts w:asciiTheme="majorHAnsi" w:hAnsiTheme="majorHAnsi"/>
                <w:color w:val="231F20"/>
                <w:sz w:val="20"/>
                <w:szCs w:val="20"/>
              </w:rPr>
              <w:t>’</w:t>
            </w:r>
            <w:r w:rsidRPr="00AB369C">
              <w:rPr>
                <w:rFonts w:asciiTheme="majorHAnsi" w:hAnsiTheme="majorHAnsi"/>
                <w:color w:val="231F20"/>
                <w:spacing w:val="-6"/>
                <w:sz w:val="20"/>
                <w:szCs w:val="20"/>
              </w:rPr>
              <w:t xml:space="preserve"> </w:t>
            </w:r>
            <w:r w:rsidRPr="00AB369C">
              <w:rPr>
                <w:rFonts w:asciiTheme="majorHAnsi" w:hAnsiTheme="majorHAnsi"/>
                <w:color w:val="231F20"/>
                <w:sz w:val="20"/>
                <w:szCs w:val="20"/>
              </w:rPr>
              <w:t>friends.” Orford et al., 2009</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Drinking to get drunk</w:t>
            </w:r>
          </w:p>
        </w:tc>
        <w:tc>
          <w:tcPr>
            <w:tcW w:w="10632" w:type="dxa"/>
          </w:tcPr>
          <w:p w:rsidR="00937694" w:rsidRPr="00AB369C" w:rsidRDefault="004F7E1B" w:rsidP="001574C5">
            <w:pPr>
              <w:pStyle w:val="ListParagraph"/>
              <w:numPr>
                <w:ilvl w:val="0"/>
                <w:numId w:val="3"/>
              </w:numPr>
              <w:spacing w:before="1"/>
              <w:rPr>
                <w:rFonts w:asciiTheme="majorHAnsi" w:hAnsiTheme="majorHAnsi"/>
                <w:color w:val="231F20"/>
                <w:sz w:val="20"/>
                <w:szCs w:val="20"/>
              </w:rPr>
            </w:pPr>
            <w:r w:rsidRPr="00AB369C">
              <w:rPr>
                <w:rFonts w:asciiTheme="majorHAnsi" w:hAnsiTheme="majorHAnsi"/>
                <w:color w:val="231F20"/>
                <w:sz w:val="20"/>
                <w:szCs w:val="20"/>
              </w:rPr>
              <w:t xml:space="preserve">“Drinking beer, lagers and spirits was associated with having </w:t>
            </w:r>
            <w:r w:rsidRPr="00AB369C">
              <w:rPr>
                <w:rFonts w:asciiTheme="majorHAnsi" w:eastAsia="Arial" w:hAnsiTheme="majorHAnsi" w:cs="Arial"/>
                <w:color w:val="231F20"/>
                <w:sz w:val="20"/>
                <w:szCs w:val="20"/>
              </w:rPr>
              <w:t>‘</w:t>
            </w:r>
            <w:r w:rsidRPr="00AB369C">
              <w:rPr>
                <w:rFonts w:asciiTheme="majorHAnsi" w:hAnsiTheme="majorHAnsi"/>
                <w:i/>
                <w:color w:val="231F20"/>
                <w:sz w:val="20"/>
                <w:szCs w:val="20"/>
              </w:rPr>
              <w:t>belly laughs and the hilarity</w:t>
            </w:r>
            <w:r w:rsidRPr="00AB369C">
              <w:rPr>
                <w:rFonts w:asciiTheme="majorHAnsi" w:eastAsia="Arial" w:hAnsiTheme="majorHAnsi" w:cs="Arial"/>
                <w:color w:val="231F20"/>
                <w:sz w:val="20"/>
                <w:szCs w:val="20"/>
              </w:rPr>
              <w:t>’</w:t>
            </w:r>
            <w:r w:rsidR="00811954" w:rsidRPr="00AB369C">
              <w:rPr>
                <w:rFonts w:asciiTheme="majorHAnsi" w:hAnsiTheme="majorHAnsi"/>
                <w:color w:val="231F20"/>
                <w:sz w:val="20"/>
                <w:szCs w:val="20"/>
              </w:rPr>
              <w:t xml:space="preserve">, of </w:t>
            </w:r>
            <w:r w:rsidRPr="00AB369C">
              <w:rPr>
                <w:rFonts w:asciiTheme="majorHAnsi" w:hAnsiTheme="majorHAnsi"/>
                <w:color w:val="231F20"/>
                <w:sz w:val="20"/>
                <w:szCs w:val="20"/>
              </w:rPr>
              <w:t xml:space="preserve">having a </w:t>
            </w:r>
            <w:r w:rsidRPr="00AB369C">
              <w:rPr>
                <w:rFonts w:asciiTheme="majorHAnsi" w:eastAsia="Arial" w:hAnsiTheme="majorHAnsi" w:cs="Arial"/>
                <w:color w:val="231F20"/>
                <w:sz w:val="20"/>
                <w:szCs w:val="20"/>
              </w:rPr>
              <w:t>‘</w:t>
            </w:r>
            <w:r w:rsidRPr="00AB369C">
              <w:rPr>
                <w:rFonts w:asciiTheme="majorHAnsi" w:hAnsiTheme="majorHAnsi"/>
                <w:i/>
                <w:color w:val="231F20"/>
                <w:sz w:val="20"/>
                <w:szCs w:val="20"/>
              </w:rPr>
              <w:t>mad</w:t>
            </w:r>
            <w:r w:rsidRPr="00AB369C">
              <w:rPr>
                <w:rFonts w:asciiTheme="majorHAnsi" w:eastAsia="Arial" w:hAnsiTheme="majorHAnsi" w:cs="Arial"/>
                <w:color w:val="231F20"/>
                <w:sz w:val="20"/>
                <w:szCs w:val="20"/>
              </w:rPr>
              <w:t xml:space="preserve">’ </w:t>
            </w:r>
            <w:r w:rsidRPr="00AB369C">
              <w:rPr>
                <w:rFonts w:asciiTheme="majorHAnsi" w:hAnsiTheme="majorHAnsi"/>
                <w:color w:val="231F20"/>
                <w:sz w:val="20"/>
                <w:szCs w:val="20"/>
              </w:rPr>
              <w:t xml:space="preserve">or </w:t>
            </w:r>
            <w:r w:rsidRPr="00AB369C">
              <w:rPr>
                <w:rFonts w:asciiTheme="majorHAnsi" w:eastAsia="Arial" w:hAnsiTheme="majorHAnsi" w:cs="Arial"/>
                <w:color w:val="231F20"/>
                <w:sz w:val="20"/>
                <w:szCs w:val="20"/>
              </w:rPr>
              <w:t>‘</w:t>
            </w:r>
            <w:r w:rsidRPr="00AB369C">
              <w:rPr>
                <w:rFonts w:asciiTheme="majorHAnsi" w:hAnsiTheme="majorHAnsi"/>
                <w:i/>
                <w:color w:val="231F20"/>
                <w:sz w:val="20"/>
                <w:szCs w:val="20"/>
              </w:rPr>
              <w:t>daft</w:t>
            </w:r>
            <w:r w:rsidRPr="00AB369C">
              <w:rPr>
                <w:rFonts w:asciiTheme="majorHAnsi" w:eastAsia="Arial" w:hAnsiTheme="majorHAnsi" w:cs="Arial"/>
                <w:color w:val="231F20"/>
                <w:sz w:val="20"/>
                <w:szCs w:val="20"/>
              </w:rPr>
              <w:t xml:space="preserve">’ </w:t>
            </w:r>
            <w:r w:rsidRPr="00AB369C">
              <w:rPr>
                <w:rFonts w:asciiTheme="majorHAnsi" w:hAnsiTheme="majorHAnsi"/>
                <w:color w:val="231F20"/>
                <w:sz w:val="20"/>
                <w:szCs w:val="20"/>
              </w:rPr>
              <w:t xml:space="preserve">night. Some reported </w:t>
            </w:r>
            <w:r w:rsidRPr="00AB369C">
              <w:rPr>
                <w:rFonts w:asciiTheme="majorHAnsi" w:eastAsia="Arial" w:hAnsiTheme="majorHAnsi" w:cs="Arial"/>
                <w:color w:val="231F20"/>
                <w:sz w:val="20"/>
                <w:szCs w:val="20"/>
              </w:rPr>
              <w:t>‘</w:t>
            </w:r>
            <w:r w:rsidRPr="00AB369C">
              <w:rPr>
                <w:rFonts w:asciiTheme="majorHAnsi" w:hAnsiTheme="majorHAnsi"/>
                <w:i/>
                <w:color w:val="231F20"/>
                <w:sz w:val="20"/>
                <w:szCs w:val="20"/>
              </w:rPr>
              <w:t>losing control</w:t>
            </w:r>
            <w:r w:rsidRPr="00AB369C">
              <w:rPr>
                <w:rFonts w:asciiTheme="majorHAnsi" w:eastAsia="Arial" w:hAnsiTheme="majorHAnsi" w:cs="Arial"/>
                <w:color w:val="231F20"/>
                <w:sz w:val="20"/>
                <w:szCs w:val="20"/>
              </w:rPr>
              <w:t xml:space="preserve">’ </w:t>
            </w:r>
            <w:r w:rsidRPr="00AB369C">
              <w:rPr>
                <w:rFonts w:asciiTheme="majorHAnsi" w:hAnsiTheme="majorHAnsi"/>
                <w:color w:val="231F20"/>
                <w:sz w:val="20"/>
                <w:szCs w:val="20"/>
              </w:rPr>
              <w:t xml:space="preserve">and sought to </w:t>
            </w:r>
            <w:r w:rsidRPr="00AB369C">
              <w:rPr>
                <w:rFonts w:asciiTheme="majorHAnsi" w:eastAsia="Arial" w:hAnsiTheme="majorHAnsi" w:cs="Arial"/>
                <w:color w:val="231F20"/>
                <w:sz w:val="20"/>
                <w:szCs w:val="20"/>
              </w:rPr>
              <w:t>‘</w:t>
            </w:r>
            <w:r w:rsidRPr="00AB369C">
              <w:rPr>
                <w:rFonts w:asciiTheme="majorHAnsi" w:hAnsiTheme="majorHAnsi"/>
                <w:i/>
                <w:color w:val="231F20"/>
                <w:sz w:val="20"/>
                <w:szCs w:val="20"/>
              </w:rPr>
              <w:t xml:space="preserve">get like </w:t>
            </w:r>
            <w:proofErr w:type="spellStart"/>
            <w:r w:rsidRPr="00AB369C">
              <w:rPr>
                <w:rFonts w:asciiTheme="majorHAnsi" w:hAnsiTheme="majorHAnsi"/>
                <w:i/>
                <w:color w:val="231F20"/>
                <w:sz w:val="20"/>
                <w:szCs w:val="20"/>
              </w:rPr>
              <w:t>whoohoo</w:t>
            </w:r>
            <w:proofErr w:type="spellEnd"/>
            <w:r w:rsidRPr="00AB369C">
              <w:rPr>
                <w:rFonts w:asciiTheme="majorHAnsi" w:eastAsia="Arial" w:hAnsiTheme="majorHAnsi" w:cs="Arial"/>
                <w:color w:val="231F20"/>
                <w:sz w:val="20"/>
                <w:szCs w:val="20"/>
              </w:rPr>
              <w:t xml:space="preserve">’ </w:t>
            </w:r>
            <w:r w:rsidRPr="00AB369C">
              <w:rPr>
                <w:rFonts w:asciiTheme="majorHAnsi" w:hAnsiTheme="majorHAnsi"/>
                <w:color w:val="231F20"/>
                <w:sz w:val="20"/>
                <w:szCs w:val="20"/>
              </w:rPr>
              <w:t>when out drinking.” Brierley-Jones et al., 2014</w:t>
            </w:r>
          </w:p>
          <w:p w:rsidR="001574C5" w:rsidRPr="00AB369C" w:rsidRDefault="004F7E1B" w:rsidP="001574C5">
            <w:pPr>
              <w:pStyle w:val="ListParagraph"/>
              <w:numPr>
                <w:ilvl w:val="0"/>
                <w:numId w:val="3"/>
              </w:numPr>
              <w:spacing w:before="1"/>
              <w:rPr>
                <w:rFonts w:asciiTheme="majorHAnsi" w:hAnsiTheme="majorHAnsi"/>
                <w:color w:val="231F20"/>
                <w:sz w:val="20"/>
                <w:szCs w:val="20"/>
              </w:rPr>
            </w:pPr>
            <w:r w:rsidRPr="00AB369C">
              <w:rPr>
                <w:rFonts w:asciiTheme="majorHAnsi" w:hAnsiTheme="majorHAnsi"/>
                <w:color w:val="231F20"/>
                <w:sz w:val="20"/>
                <w:szCs w:val="20"/>
              </w:rPr>
              <w:t xml:space="preserve">“Some participants said they did not drink alcohol to relax or escape, but to binge drink and get drunk”  </w:t>
            </w:r>
            <w:r w:rsidRPr="00AB369C">
              <w:rPr>
                <w:rFonts w:asciiTheme="majorHAnsi" w:hAnsiTheme="majorHAnsi"/>
                <w:color w:val="231F20"/>
                <w:spacing w:val="48"/>
                <w:sz w:val="20"/>
                <w:szCs w:val="20"/>
              </w:rPr>
              <w:t xml:space="preserve"> </w:t>
            </w:r>
            <w:r w:rsidR="00AC2F9A" w:rsidRPr="00AB369C">
              <w:rPr>
                <w:rFonts w:asciiTheme="majorHAnsi" w:eastAsia="Arial" w:hAnsiTheme="majorHAnsi" w:cs="Arial"/>
                <w:color w:val="231F20"/>
                <w:sz w:val="20"/>
                <w:szCs w:val="20"/>
              </w:rPr>
              <w:t>Lyons, Emslie &amp; Hunt</w:t>
            </w:r>
            <w:r w:rsidRPr="00AB369C">
              <w:rPr>
                <w:rFonts w:asciiTheme="majorHAnsi" w:eastAsia="Arial" w:hAnsiTheme="majorHAnsi" w:cs="Arial"/>
                <w:color w:val="231F20"/>
                <w:sz w:val="20"/>
                <w:szCs w:val="20"/>
              </w:rPr>
              <w:t xml:space="preserve"> 2014</w:t>
            </w:r>
          </w:p>
        </w:tc>
      </w:tr>
      <w:tr w:rsidR="001574C5" w:rsidRPr="00AB369C" w:rsidTr="00865A70">
        <w:tc>
          <w:tcPr>
            <w:tcW w:w="1265" w:type="dxa"/>
            <w:vMerge w:val="restart"/>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Drinking Justifications</w:t>
            </w:r>
          </w:p>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 xml:space="preserve">Drinking as a controlled choice </w:t>
            </w:r>
          </w:p>
        </w:tc>
        <w:tc>
          <w:tcPr>
            <w:tcW w:w="10632" w:type="dxa"/>
          </w:tcPr>
          <w:p w:rsidR="001574C5" w:rsidRPr="00AB369C" w:rsidRDefault="00AC2F9A" w:rsidP="00AC2F9A">
            <w:pPr>
              <w:pStyle w:val="BodyText"/>
              <w:numPr>
                <w:ilvl w:val="0"/>
                <w:numId w:val="7"/>
              </w:numPr>
              <w:spacing w:line="249" w:lineRule="auto"/>
              <w:ind w:right="335"/>
              <w:rPr>
                <w:rFonts w:asciiTheme="majorHAnsi" w:hAnsiTheme="majorHAnsi"/>
                <w:color w:val="231F20"/>
                <w:sz w:val="20"/>
                <w:szCs w:val="20"/>
              </w:rPr>
            </w:pPr>
            <w:r w:rsidRPr="00AB369C">
              <w:rPr>
                <w:rFonts w:asciiTheme="majorHAnsi" w:hAnsiTheme="majorHAnsi"/>
                <w:color w:val="231F20"/>
                <w:sz w:val="20"/>
                <w:szCs w:val="20"/>
              </w:rPr>
              <w:t>“In positive terms, alcohol was treated as something that could be enjoyed by older people who consumed it minimally or occasionally. Alcohol was drunk through choice, and therefore implied control over one’s actions” Wilson et al., 2013</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Meeting responsibilities</w:t>
            </w:r>
          </w:p>
        </w:tc>
        <w:tc>
          <w:tcPr>
            <w:tcW w:w="10632" w:type="dxa"/>
          </w:tcPr>
          <w:p w:rsidR="00AC2F9A" w:rsidRPr="00AB369C" w:rsidRDefault="00005B28" w:rsidP="00005B28">
            <w:pPr>
              <w:pStyle w:val="BodyText"/>
              <w:numPr>
                <w:ilvl w:val="0"/>
                <w:numId w:val="7"/>
              </w:numPr>
              <w:spacing w:line="249" w:lineRule="auto"/>
              <w:ind w:right="335"/>
              <w:rPr>
                <w:rFonts w:asciiTheme="majorHAnsi" w:hAnsiTheme="majorHAnsi"/>
                <w:color w:val="231F20"/>
                <w:sz w:val="20"/>
                <w:szCs w:val="20"/>
              </w:rPr>
            </w:pPr>
            <w:r w:rsidRPr="00AB369C">
              <w:rPr>
                <w:rFonts w:asciiTheme="majorHAnsi" w:hAnsiTheme="majorHAnsi"/>
                <w:color w:val="231F20"/>
                <w:sz w:val="20"/>
                <w:szCs w:val="20"/>
              </w:rPr>
              <w:t>“</w:t>
            </w:r>
            <w:r w:rsidR="00AC2F9A" w:rsidRPr="00AB369C">
              <w:rPr>
                <w:rFonts w:asciiTheme="majorHAnsi" w:hAnsiTheme="majorHAnsi"/>
                <w:color w:val="231F20"/>
                <w:sz w:val="20"/>
                <w:szCs w:val="20"/>
              </w:rPr>
              <w:t xml:space="preserve">A central theme was that as respondents entered mid-life, they had to plan their drinking around their ‘responsibilities’ (particularly children, paid work and driving). </w:t>
            </w:r>
            <w:proofErr w:type="spellStart"/>
            <w:r w:rsidR="00AC2F9A" w:rsidRPr="00AB369C">
              <w:rPr>
                <w:rFonts w:asciiTheme="majorHAnsi" w:hAnsiTheme="majorHAnsi"/>
                <w:color w:val="231F20"/>
                <w:sz w:val="20"/>
                <w:szCs w:val="20"/>
              </w:rPr>
              <w:t>Self control</w:t>
            </w:r>
            <w:proofErr w:type="spellEnd"/>
            <w:r w:rsidR="00AC2F9A" w:rsidRPr="00AB369C">
              <w:rPr>
                <w:rFonts w:asciiTheme="majorHAnsi" w:hAnsiTheme="majorHAnsi"/>
                <w:color w:val="231F20"/>
                <w:sz w:val="20"/>
                <w:szCs w:val="20"/>
              </w:rPr>
              <w:t xml:space="preserve"> and discipline were necessary in order to </w:t>
            </w:r>
            <w:proofErr w:type="spellStart"/>
            <w:r w:rsidR="00AC2F9A" w:rsidRPr="00AB369C">
              <w:rPr>
                <w:rFonts w:asciiTheme="majorHAnsi" w:hAnsiTheme="majorHAnsi"/>
                <w:color w:val="231F20"/>
                <w:sz w:val="20"/>
                <w:szCs w:val="20"/>
              </w:rPr>
              <w:t>prioritise</w:t>
            </w:r>
            <w:proofErr w:type="spellEnd"/>
            <w:r w:rsidR="00AC2F9A" w:rsidRPr="00AB369C">
              <w:rPr>
                <w:rFonts w:asciiTheme="majorHAnsi" w:hAnsiTheme="majorHAnsi"/>
                <w:color w:val="231F20"/>
                <w:sz w:val="20"/>
                <w:szCs w:val="20"/>
              </w:rPr>
              <w:t xml:space="preserve"> responsibilities and counteract the powerful appeal of alcohol</w:t>
            </w:r>
            <w:r w:rsidRPr="00AB369C">
              <w:rPr>
                <w:rFonts w:asciiTheme="majorHAnsi" w:hAnsiTheme="majorHAnsi"/>
                <w:color w:val="231F20"/>
                <w:sz w:val="20"/>
                <w:szCs w:val="20"/>
              </w:rPr>
              <w:t>.”</w:t>
            </w:r>
            <w:r w:rsidR="00AC2F9A" w:rsidRPr="00AB369C">
              <w:rPr>
                <w:rFonts w:asciiTheme="majorHAnsi" w:hAnsiTheme="majorHAnsi"/>
                <w:color w:val="231F20"/>
                <w:sz w:val="20"/>
                <w:szCs w:val="20"/>
              </w:rPr>
              <w:t xml:space="preserve"> E</w:t>
            </w:r>
            <w:r w:rsidRPr="00AB369C">
              <w:rPr>
                <w:rFonts w:asciiTheme="majorHAnsi" w:hAnsiTheme="majorHAnsi"/>
                <w:color w:val="231F20"/>
                <w:sz w:val="20"/>
                <w:szCs w:val="20"/>
              </w:rPr>
              <w:t xml:space="preserve">mslie, Hunt &amp; Lyons </w:t>
            </w:r>
            <w:r w:rsidR="00AC2F9A" w:rsidRPr="00AB369C">
              <w:rPr>
                <w:rFonts w:asciiTheme="majorHAnsi" w:hAnsiTheme="majorHAnsi"/>
                <w:color w:val="231F20"/>
                <w:sz w:val="20"/>
                <w:szCs w:val="20"/>
              </w:rPr>
              <w:t>2012</w:t>
            </w:r>
          </w:p>
          <w:p w:rsidR="001574C5" w:rsidRPr="00AB369C" w:rsidRDefault="00005B28" w:rsidP="00005B28">
            <w:pPr>
              <w:pStyle w:val="ListParagraph"/>
              <w:numPr>
                <w:ilvl w:val="0"/>
                <w:numId w:val="7"/>
              </w:numPr>
              <w:rPr>
                <w:rFonts w:asciiTheme="majorHAnsi" w:eastAsia="Times New Roman" w:hAnsiTheme="majorHAnsi" w:cs="Times New Roman"/>
                <w:sz w:val="20"/>
                <w:szCs w:val="20"/>
              </w:rPr>
            </w:pPr>
            <w:r w:rsidRPr="00AB369C">
              <w:rPr>
                <w:rFonts w:asciiTheme="majorHAnsi" w:eastAsia="Times New Roman" w:hAnsiTheme="majorHAnsi" w:cs="Times New Roman"/>
                <w:sz w:val="20"/>
                <w:szCs w:val="20"/>
              </w:rPr>
              <w:t>“</w:t>
            </w:r>
            <w:r w:rsidRPr="00AB369C">
              <w:rPr>
                <w:rFonts w:asciiTheme="majorHAnsi" w:eastAsia="Times New Roman" w:hAnsiTheme="majorHAnsi" w:cs="Times New Roman"/>
                <w:i/>
                <w:sz w:val="20"/>
                <w:szCs w:val="20"/>
              </w:rPr>
              <w:t>‘I have a nine-year old son, and we don</w:t>
            </w:r>
            <w:r w:rsidRPr="00AB369C">
              <w:rPr>
                <w:rFonts w:asciiTheme="majorHAnsi" w:eastAsia="Trebuchet MS" w:hAnsiTheme="majorHAnsi" w:cs="Trebuchet MS"/>
                <w:i/>
                <w:sz w:val="20"/>
                <w:szCs w:val="20"/>
              </w:rPr>
              <w:t>’</w:t>
            </w:r>
            <w:r w:rsidRPr="00AB369C">
              <w:rPr>
                <w:rFonts w:asciiTheme="majorHAnsi" w:eastAsia="Times New Roman" w:hAnsiTheme="majorHAnsi" w:cs="Times New Roman"/>
                <w:i/>
                <w:sz w:val="20"/>
                <w:szCs w:val="20"/>
              </w:rPr>
              <w:t>t make a habit of having a drink when he is up. So if he goes to bed at nine o</w:t>
            </w:r>
            <w:r w:rsidRPr="00AB369C">
              <w:rPr>
                <w:rFonts w:asciiTheme="majorHAnsi" w:eastAsia="Trebuchet MS" w:hAnsiTheme="majorHAnsi" w:cs="Trebuchet MS"/>
                <w:i/>
                <w:sz w:val="20"/>
                <w:szCs w:val="20"/>
              </w:rPr>
              <w:t>’</w:t>
            </w:r>
            <w:r w:rsidRPr="00AB369C">
              <w:rPr>
                <w:rFonts w:asciiTheme="majorHAnsi" w:eastAsia="Times New Roman" w:hAnsiTheme="majorHAnsi" w:cs="Times New Roman"/>
                <w:i/>
                <w:sz w:val="20"/>
                <w:szCs w:val="20"/>
              </w:rPr>
              <w:t>clock, then we will have a drink. It is not reasonable to drink at five or six</w:t>
            </w:r>
            <w:r w:rsidRPr="00AB369C">
              <w:rPr>
                <w:rFonts w:asciiTheme="majorHAnsi" w:eastAsia="Times New Roman" w:hAnsiTheme="majorHAnsi" w:cs="Times New Roman"/>
                <w:i/>
                <w:spacing w:val="7"/>
                <w:sz w:val="20"/>
                <w:szCs w:val="20"/>
              </w:rPr>
              <w:t xml:space="preserve"> </w:t>
            </w:r>
            <w:r w:rsidRPr="00AB369C">
              <w:rPr>
                <w:rFonts w:asciiTheme="majorHAnsi" w:eastAsia="Times New Roman" w:hAnsiTheme="majorHAnsi" w:cs="Times New Roman"/>
                <w:i/>
                <w:sz w:val="20"/>
                <w:szCs w:val="20"/>
              </w:rPr>
              <w:t>o</w:t>
            </w:r>
            <w:r w:rsidRPr="00AB369C">
              <w:rPr>
                <w:rFonts w:asciiTheme="majorHAnsi" w:eastAsia="Trebuchet MS" w:hAnsiTheme="majorHAnsi" w:cs="Trebuchet MS"/>
                <w:i/>
                <w:sz w:val="20"/>
                <w:szCs w:val="20"/>
              </w:rPr>
              <w:t>’</w:t>
            </w:r>
            <w:r w:rsidRPr="00AB369C">
              <w:rPr>
                <w:rFonts w:asciiTheme="majorHAnsi" w:eastAsia="Times New Roman" w:hAnsiTheme="majorHAnsi" w:cs="Times New Roman"/>
                <w:i/>
                <w:sz w:val="20"/>
                <w:szCs w:val="20"/>
              </w:rPr>
              <w:t>clock’</w:t>
            </w:r>
            <w:r w:rsidRPr="00AB369C">
              <w:rPr>
                <w:rFonts w:asciiTheme="majorHAnsi" w:eastAsia="Times New Roman" w:hAnsiTheme="majorHAnsi" w:cs="Times New Roman"/>
                <w:sz w:val="20"/>
                <w:szCs w:val="20"/>
              </w:rPr>
              <w:t xml:space="preserve">” (Male, 35yo, community volunteers focus group) Foster &amp; </w:t>
            </w:r>
            <w:proofErr w:type="spellStart"/>
            <w:r w:rsidRPr="00AB369C">
              <w:rPr>
                <w:rFonts w:asciiTheme="majorHAnsi" w:eastAsia="Times New Roman" w:hAnsiTheme="majorHAnsi" w:cs="Times New Roman"/>
                <w:sz w:val="20"/>
                <w:szCs w:val="20"/>
              </w:rPr>
              <w:t>Heyman</w:t>
            </w:r>
            <w:proofErr w:type="spellEnd"/>
            <w:r w:rsidRPr="00AB369C">
              <w:rPr>
                <w:rFonts w:asciiTheme="majorHAnsi" w:eastAsia="Times New Roman" w:hAnsiTheme="majorHAnsi" w:cs="Times New Roman"/>
                <w:sz w:val="20"/>
                <w:szCs w:val="20"/>
              </w:rPr>
              <w:t xml:space="preserve"> 2013</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Othering of problematic drinking</w:t>
            </w:r>
          </w:p>
        </w:tc>
        <w:tc>
          <w:tcPr>
            <w:tcW w:w="10632" w:type="dxa"/>
          </w:tcPr>
          <w:p w:rsidR="00575062" w:rsidRPr="00AB369C" w:rsidRDefault="00575062" w:rsidP="00575062">
            <w:pPr>
              <w:pStyle w:val="BodyText"/>
              <w:numPr>
                <w:ilvl w:val="0"/>
                <w:numId w:val="6"/>
              </w:numPr>
              <w:spacing w:line="249" w:lineRule="auto"/>
              <w:ind w:right="335"/>
              <w:rPr>
                <w:rFonts w:asciiTheme="majorHAnsi" w:hAnsiTheme="majorHAnsi"/>
                <w:color w:val="231F20"/>
                <w:sz w:val="20"/>
                <w:szCs w:val="20"/>
              </w:rPr>
            </w:pPr>
            <w:r w:rsidRPr="00AB369C">
              <w:rPr>
                <w:rFonts w:asciiTheme="majorHAnsi" w:hAnsiTheme="majorHAnsi"/>
                <w:color w:val="231F20"/>
                <w:sz w:val="20"/>
                <w:szCs w:val="20"/>
              </w:rPr>
              <w:t>“The typical home drinker perceived regular, moderate home drinking of wine as unproblematic when compared with the large quantities consumed in the so</w:t>
            </w:r>
            <w:r w:rsidR="00AC2F9A" w:rsidRPr="00AB369C">
              <w:rPr>
                <w:rFonts w:asciiTheme="majorHAnsi" w:hAnsiTheme="majorHAnsi"/>
                <w:color w:val="231F20"/>
                <w:sz w:val="20"/>
                <w:szCs w:val="20"/>
              </w:rPr>
              <w:t>cial, weekend drinking of beer,</w:t>
            </w:r>
            <w:r w:rsidRPr="00AB369C">
              <w:rPr>
                <w:rFonts w:asciiTheme="majorHAnsi" w:hAnsiTheme="majorHAnsi"/>
                <w:color w:val="231F20"/>
                <w:sz w:val="20"/>
                <w:szCs w:val="20"/>
              </w:rPr>
              <w:t xml:space="preserve"> lager and spirits associated with the traditional  drinker…Traditional drinkers, too, were keen to distinguish their controlled drinking pattern from the  vulgar  excesses of the ‘problem  drinker’.” </w:t>
            </w:r>
            <w:r w:rsidRPr="00AB369C">
              <w:rPr>
                <w:rFonts w:asciiTheme="majorHAnsi" w:eastAsia="Arial" w:hAnsiTheme="majorHAnsi" w:cs="Arial"/>
                <w:sz w:val="20"/>
                <w:szCs w:val="20"/>
              </w:rPr>
              <w:t>Brierley-Jones et al., 2014</w:t>
            </w:r>
          </w:p>
          <w:p w:rsidR="001574C5" w:rsidRPr="00AB369C" w:rsidRDefault="00575062" w:rsidP="00575062">
            <w:pPr>
              <w:pStyle w:val="ListParagraph"/>
              <w:numPr>
                <w:ilvl w:val="0"/>
                <w:numId w:val="6"/>
              </w:numPr>
              <w:rPr>
                <w:rFonts w:asciiTheme="majorHAnsi" w:hAnsiTheme="majorHAnsi"/>
                <w:sz w:val="20"/>
                <w:szCs w:val="20"/>
              </w:rPr>
            </w:pPr>
            <w:r w:rsidRPr="00AB369C">
              <w:rPr>
                <w:rFonts w:asciiTheme="majorHAnsi" w:hAnsiTheme="majorHAnsi"/>
                <w:sz w:val="20"/>
                <w:szCs w:val="20"/>
              </w:rPr>
              <w:t xml:space="preserve">“Youthful drinking was associated with aiming to become drunk quickly (and so choice of drink was inﬂuenced by the price and strength of alcohol content), whereas drinking in early mid-life was characterised as being relaxing, sociable and civilised.” Emslie, Hunt &amp; </w:t>
            </w:r>
            <w:r w:rsidR="00AC2F9A" w:rsidRPr="00AB369C">
              <w:rPr>
                <w:rFonts w:asciiTheme="majorHAnsi" w:hAnsiTheme="majorHAnsi"/>
                <w:sz w:val="20"/>
                <w:szCs w:val="20"/>
              </w:rPr>
              <w:t xml:space="preserve">Lyons </w:t>
            </w:r>
            <w:r w:rsidRPr="00AB369C">
              <w:rPr>
                <w:rFonts w:asciiTheme="majorHAnsi" w:hAnsiTheme="majorHAnsi"/>
                <w:sz w:val="20"/>
                <w:szCs w:val="20"/>
              </w:rPr>
              <w:t>2012</w:t>
            </w:r>
          </w:p>
        </w:tc>
      </w:tr>
      <w:tr w:rsidR="001574C5" w:rsidRPr="00AB369C" w:rsidTr="00865A70">
        <w:tc>
          <w:tcPr>
            <w:tcW w:w="1265" w:type="dxa"/>
            <w:vMerge w:val="restart"/>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 xml:space="preserve">Drinking </w:t>
            </w:r>
            <w:r w:rsidRPr="00AB369C">
              <w:rPr>
                <w:rFonts w:asciiTheme="majorHAnsi" w:hAnsiTheme="majorHAnsi"/>
                <w:sz w:val="20"/>
                <w:szCs w:val="20"/>
              </w:rPr>
              <w:lastRenderedPageBreak/>
              <w:t>Strategies and Control</w:t>
            </w:r>
          </w:p>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lastRenderedPageBreak/>
              <w:t>Drinking strategies</w:t>
            </w:r>
          </w:p>
        </w:tc>
        <w:tc>
          <w:tcPr>
            <w:tcW w:w="10632" w:type="dxa"/>
          </w:tcPr>
          <w:p w:rsidR="001574C5" w:rsidRPr="00AB369C" w:rsidRDefault="005673A6" w:rsidP="00937694">
            <w:pPr>
              <w:pStyle w:val="ListParagraph"/>
              <w:numPr>
                <w:ilvl w:val="0"/>
                <w:numId w:val="4"/>
              </w:numPr>
              <w:rPr>
                <w:rFonts w:asciiTheme="majorHAnsi" w:hAnsiTheme="majorHAnsi"/>
                <w:sz w:val="20"/>
                <w:szCs w:val="20"/>
                <w:lang w:val="en-US"/>
              </w:rPr>
            </w:pPr>
            <w:proofErr w:type="gramStart"/>
            <w:r w:rsidRPr="00AB369C">
              <w:rPr>
                <w:rFonts w:asciiTheme="majorHAnsi" w:hAnsiTheme="majorHAnsi"/>
                <w:i/>
                <w:sz w:val="20"/>
                <w:szCs w:val="20"/>
                <w:lang w:val="en-US"/>
              </w:rPr>
              <w:t>“</w:t>
            </w:r>
            <w:r w:rsidR="00811954" w:rsidRPr="00AB369C">
              <w:rPr>
                <w:rFonts w:asciiTheme="majorHAnsi" w:hAnsiTheme="majorHAnsi"/>
                <w:i/>
                <w:sz w:val="20"/>
                <w:szCs w:val="20"/>
                <w:lang w:val="en-US"/>
              </w:rPr>
              <w:t xml:space="preserve"> ‘</w:t>
            </w:r>
            <w:r w:rsidRPr="00AB369C">
              <w:rPr>
                <w:rFonts w:asciiTheme="majorHAnsi" w:hAnsiTheme="majorHAnsi"/>
                <w:i/>
                <w:sz w:val="20"/>
                <w:szCs w:val="20"/>
                <w:lang w:val="en-US"/>
              </w:rPr>
              <w:t>Subconsciously</w:t>
            </w:r>
            <w:proofErr w:type="gramEnd"/>
            <w:r w:rsidRPr="00AB369C">
              <w:rPr>
                <w:rFonts w:asciiTheme="majorHAnsi" w:hAnsiTheme="majorHAnsi"/>
                <w:i/>
                <w:sz w:val="20"/>
                <w:szCs w:val="20"/>
                <w:lang w:val="en-US"/>
              </w:rPr>
              <w:t xml:space="preserve"> as well, I would always, if I knew I was going out for a fairly big night out, have soup. This sounds really, </w:t>
            </w:r>
            <w:r w:rsidRPr="00AB369C">
              <w:rPr>
                <w:rFonts w:asciiTheme="majorHAnsi" w:hAnsiTheme="majorHAnsi"/>
                <w:i/>
                <w:sz w:val="20"/>
                <w:szCs w:val="20"/>
                <w:lang w:val="en-US"/>
              </w:rPr>
              <w:lastRenderedPageBreak/>
              <w:t>really grim, like it sounds terrible, but what I’m thinking is, ‘What if I get so drunk that I’m sick, or even sick in my sleep. If I’m being sick liquid, I’ll survive’. [Laughter]. But I think if I have a big meal, I’m far more likely to be sick, and also if I’m sick and it’s just soup at least it’s liquid coming out, if it’s horrible big, you know, meat or whatever, then it’s going to be fatal.</w:t>
            </w:r>
            <w:r w:rsidR="00811954" w:rsidRPr="00AB369C">
              <w:rPr>
                <w:rFonts w:asciiTheme="majorHAnsi" w:hAnsiTheme="majorHAnsi"/>
                <w:i/>
                <w:sz w:val="20"/>
                <w:szCs w:val="20"/>
                <w:lang w:val="en-US"/>
              </w:rPr>
              <w:t xml:space="preserve">’ </w:t>
            </w:r>
            <w:r w:rsidRPr="00AB369C">
              <w:rPr>
                <w:rFonts w:asciiTheme="majorHAnsi" w:hAnsiTheme="majorHAnsi"/>
                <w:i/>
                <w:sz w:val="20"/>
                <w:szCs w:val="20"/>
                <w:lang w:val="en-US"/>
              </w:rPr>
              <w:t xml:space="preserve">” </w:t>
            </w:r>
            <w:r w:rsidRPr="00AB369C">
              <w:rPr>
                <w:rFonts w:asciiTheme="majorHAnsi" w:hAnsiTheme="majorHAnsi"/>
                <w:sz w:val="20"/>
                <w:szCs w:val="20"/>
                <w:lang w:val="en-US"/>
              </w:rPr>
              <w:t>(M</w:t>
            </w:r>
            <w:r w:rsidR="00005B28" w:rsidRPr="00AB369C">
              <w:rPr>
                <w:rFonts w:asciiTheme="majorHAnsi" w:hAnsiTheme="majorHAnsi"/>
                <w:sz w:val="20"/>
                <w:szCs w:val="20"/>
                <w:lang w:val="en-US"/>
              </w:rPr>
              <w:t>ale,</w:t>
            </w:r>
            <w:r w:rsidR="00512CF9" w:rsidRPr="00AB369C">
              <w:rPr>
                <w:rFonts w:asciiTheme="majorHAnsi" w:hAnsiTheme="majorHAnsi"/>
                <w:sz w:val="20"/>
                <w:szCs w:val="20"/>
                <w:lang w:val="en-US"/>
              </w:rPr>
              <w:t xml:space="preserve"> unemployed, 28-31yo</w:t>
            </w:r>
            <w:r w:rsidRPr="00AB369C">
              <w:rPr>
                <w:rFonts w:asciiTheme="majorHAnsi" w:hAnsiTheme="majorHAnsi"/>
                <w:sz w:val="20"/>
                <w:szCs w:val="20"/>
                <w:lang w:val="en-US"/>
              </w:rPr>
              <w:t>). Lyons, Emslie &amp; Hu</w:t>
            </w:r>
            <w:r w:rsidR="00811954" w:rsidRPr="00AB369C">
              <w:rPr>
                <w:rFonts w:asciiTheme="majorHAnsi" w:hAnsiTheme="majorHAnsi"/>
                <w:sz w:val="20"/>
                <w:szCs w:val="20"/>
                <w:lang w:val="en-US"/>
              </w:rPr>
              <w:t>n</w:t>
            </w:r>
            <w:r w:rsidR="00AC2F9A" w:rsidRPr="00AB369C">
              <w:rPr>
                <w:rFonts w:asciiTheme="majorHAnsi" w:hAnsiTheme="majorHAnsi"/>
                <w:sz w:val="20"/>
                <w:szCs w:val="20"/>
                <w:lang w:val="en-US"/>
              </w:rPr>
              <w:t>t</w:t>
            </w:r>
            <w:r w:rsidRPr="00AB369C">
              <w:rPr>
                <w:rFonts w:asciiTheme="majorHAnsi" w:hAnsiTheme="majorHAnsi"/>
                <w:sz w:val="20"/>
                <w:szCs w:val="20"/>
                <w:lang w:val="en-US"/>
              </w:rPr>
              <w:t xml:space="preserve"> 2014</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 xml:space="preserve">Being ‘in the zone’ </w:t>
            </w:r>
          </w:p>
        </w:tc>
        <w:tc>
          <w:tcPr>
            <w:tcW w:w="10632" w:type="dxa"/>
          </w:tcPr>
          <w:p w:rsidR="001574C5" w:rsidRPr="00AB369C" w:rsidRDefault="00811954" w:rsidP="00937694">
            <w:pPr>
              <w:pStyle w:val="ListParagraph"/>
              <w:numPr>
                <w:ilvl w:val="0"/>
                <w:numId w:val="4"/>
              </w:numPr>
              <w:rPr>
                <w:rFonts w:asciiTheme="majorHAnsi" w:hAnsiTheme="majorHAnsi"/>
                <w:sz w:val="20"/>
                <w:szCs w:val="20"/>
              </w:rPr>
            </w:pPr>
            <w:proofErr w:type="gramStart"/>
            <w:r w:rsidRPr="00AB369C">
              <w:rPr>
                <w:rFonts w:asciiTheme="majorHAnsi" w:hAnsiTheme="majorHAnsi"/>
                <w:i/>
                <w:sz w:val="20"/>
                <w:szCs w:val="20"/>
              </w:rPr>
              <w:t>“ ‘I’d</w:t>
            </w:r>
            <w:proofErr w:type="gramEnd"/>
            <w:r w:rsidRPr="00AB369C">
              <w:rPr>
                <w:rFonts w:asciiTheme="majorHAnsi" w:hAnsiTheme="majorHAnsi"/>
                <w:i/>
                <w:sz w:val="20"/>
                <w:szCs w:val="20"/>
              </w:rPr>
              <w:t xml:space="preserve"> love to drink all night but not get drunk. Get to that level of – that perfect level, you know, and stay there … in the zone, that’s what it is.’ “</w:t>
            </w:r>
            <w:r w:rsidRPr="00AB369C">
              <w:rPr>
                <w:rFonts w:asciiTheme="majorHAnsi" w:hAnsiTheme="majorHAnsi"/>
                <w:sz w:val="20"/>
                <w:szCs w:val="20"/>
              </w:rPr>
              <w:t xml:space="preserve"> (M</w:t>
            </w:r>
            <w:r w:rsidR="00005B28" w:rsidRPr="00AB369C">
              <w:rPr>
                <w:rFonts w:asciiTheme="majorHAnsi" w:hAnsiTheme="majorHAnsi"/>
                <w:sz w:val="20"/>
                <w:szCs w:val="20"/>
              </w:rPr>
              <w:t>ale,</w:t>
            </w:r>
            <w:r w:rsidR="00865A70" w:rsidRPr="00AB369C">
              <w:rPr>
                <w:rFonts w:asciiTheme="majorHAnsi" w:hAnsiTheme="majorHAnsi"/>
                <w:sz w:val="20"/>
                <w:szCs w:val="20"/>
              </w:rPr>
              <w:t xml:space="preserve"> lecturer, 34 -49 </w:t>
            </w:r>
            <w:proofErr w:type="spellStart"/>
            <w:r w:rsidR="00865A70" w:rsidRPr="00AB369C">
              <w:rPr>
                <w:rFonts w:asciiTheme="majorHAnsi" w:hAnsiTheme="majorHAnsi"/>
                <w:sz w:val="20"/>
                <w:szCs w:val="20"/>
              </w:rPr>
              <w:t>yo</w:t>
            </w:r>
            <w:proofErr w:type="spellEnd"/>
            <w:r w:rsidRPr="00AB369C">
              <w:rPr>
                <w:rFonts w:asciiTheme="majorHAnsi" w:hAnsiTheme="majorHAnsi"/>
                <w:sz w:val="20"/>
                <w:szCs w:val="20"/>
              </w:rPr>
              <w:t>)</w:t>
            </w:r>
            <w:r w:rsidR="00AC2F9A" w:rsidRPr="00AB369C">
              <w:rPr>
                <w:rFonts w:asciiTheme="majorHAnsi" w:hAnsiTheme="majorHAnsi"/>
                <w:sz w:val="20"/>
                <w:szCs w:val="20"/>
              </w:rPr>
              <w:t xml:space="preserve"> Lyons, Emslie &amp; Hunt</w:t>
            </w:r>
            <w:r w:rsidRPr="00AB369C">
              <w:rPr>
                <w:rFonts w:asciiTheme="majorHAnsi" w:hAnsiTheme="majorHAnsi"/>
                <w:sz w:val="20"/>
                <w:szCs w:val="20"/>
              </w:rPr>
              <w:t xml:space="preserve"> 2014</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Knowing when to stop</w:t>
            </w:r>
          </w:p>
        </w:tc>
        <w:tc>
          <w:tcPr>
            <w:tcW w:w="10632" w:type="dxa"/>
          </w:tcPr>
          <w:p w:rsidR="001574C5" w:rsidRPr="00AB369C" w:rsidRDefault="00811954" w:rsidP="00937694">
            <w:pPr>
              <w:pStyle w:val="ListParagraph"/>
              <w:numPr>
                <w:ilvl w:val="0"/>
                <w:numId w:val="4"/>
              </w:numPr>
              <w:rPr>
                <w:rFonts w:asciiTheme="majorHAnsi" w:hAnsiTheme="majorHAnsi"/>
                <w:sz w:val="20"/>
                <w:szCs w:val="20"/>
              </w:rPr>
            </w:pPr>
            <w:r w:rsidRPr="00AB369C">
              <w:rPr>
                <w:rFonts w:asciiTheme="majorHAnsi" w:hAnsiTheme="majorHAnsi"/>
                <w:sz w:val="20"/>
                <w:szCs w:val="20"/>
              </w:rPr>
              <w:t xml:space="preserve">“When limiting their consumption participants did not count units … but instead monitored their changing embodied states… Alongside achieving this enjoyable state, the participants talked about reaching a tipping point or </w:t>
            </w:r>
            <w:proofErr w:type="gramStart"/>
            <w:r w:rsidRPr="00AB369C">
              <w:rPr>
                <w:rFonts w:asciiTheme="majorHAnsi" w:hAnsiTheme="majorHAnsi"/>
                <w:sz w:val="20"/>
                <w:szCs w:val="20"/>
              </w:rPr>
              <w:t>a point of no return…</w:t>
            </w:r>
            <w:proofErr w:type="gramEnd"/>
            <w:r w:rsidRPr="00AB369C">
              <w:rPr>
                <w:rFonts w:asciiTheme="majorHAnsi" w:hAnsiTheme="majorHAnsi"/>
                <w:sz w:val="20"/>
                <w:szCs w:val="20"/>
              </w:rPr>
              <w:t>when they realised they had consumed too much alcohol and were feeling less pleasant sen</w:t>
            </w:r>
            <w:r w:rsidR="00AC2F9A" w:rsidRPr="00AB369C">
              <w:rPr>
                <w:rFonts w:asciiTheme="majorHAnsi" w:hAnsiTheme="majorHAnsi"/>
                <w:sz w:val="20"/>
                <w:szCs w:val="20"/>
              </w:rPr>
              <w:t>sations.” Lyons, Emslie &amp; Hunt</w:t>
            </w:r>
            <w:r w:rsidRPr="00AB369C">
              <w:rPr>
                <w:rFonts w:asciiTheme="majorHAnsi" w:hAnsiTheme="majorHAnsi"/>
                <w:sz w:val="20"/>
                <w:szCs w:val="20"/>
              </w:rPr>
              <w:t xml:space="preserve"> 2014 </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Drinking more with age and feeling superior to younger men</w:t>
            </w:r>
          </w:p>
        </w:tc>
        <w:tc>
          <w:tcPr>
            <w:tcW w:w="10632" w:type="dxa"/>
          </w:tcPr>
          <w:p w:rsidR="001574C5" w:rsidRPr="00AB369C" w:rsidRDefault="00811954" w:rsidP="00937694">
            <w:pPr>
              <w:pStyle w:val="ListParagraph"/>
              <w:numPr>
                <w:ilvl w:val="0"/>
                <w:numId w:val="4"/>
              </w:numPr>
              <w:rPr>
                <w:rFonts w:asciiTheme="majorHAnsi" w:hAnsiTheme="majorHAnsi"/>
                <w:sz w:val="20"/>
                <w:szCs w:val="20"/>
              </w:rPr>
            </w:pPr>
            <w:r w:rsidRPr="00AB369C">
              <w:rPr>
                <w:rFonts w:asciiTheme="majorHAnsi" w:hAnsiTheme="majorHAnsi"/>
                <w:sz w:val="20"/>
                <w:szCs w:val="20"/>
              </w:rPr>
              <w:t>“[One participant] presents the drinking of 10 pints by a drinking companion in one session as controlled and occasional... This is finally reinforced by aligning his own drinking with that of his companion and treating this as humorous, then suggesting that only younger people without their experience are likely to lose self-control after such consumption.</w:t>
            </w:r>
            <w:r w:rsidR="00295AC1" w:rsidRPr="00AB369C">
              <w:rPr>
                <w:rFonts w:asciiTheme="majorHAnsi" w:hAnsiTheme="majorHAnsi"/>
                <w:sz w:val="20"/>
                <w:szCs w:val="20"/>
              </w:rPr>
              <w:t>”</w:t>
            </w:r>
            <w:r w:rsidRPr="00AB369C">
              <w:rPr>
                <w:rFonts w:asciiTheme="majorHAnsi" w:hAnsiTheme="majorHAnsi"/>
                <w:sz w:val="20"/>
                <w:szCs w:val="20"/>
              </w:rPr>
              <w:t xml:space="preserve"> Wilson</w:t>
            </w:r>
            <w:r w:rsidR="00295AC1" w:rsidRPr="00AB369C">
              <w:rPr>
                <w:rFonts w:asciiTheme="majorHAnsi" w:hAnsiTheme="majorHAnsi"/>
                <w:sz w:val="20"/>
                <w:szCs w:val="20"/>
              </w:rPr>
              <w:t xml:space="preserve"> et al.,</w:t>
            </w:r>
            <w:r w:rsidRPr="00AB369C">
              <w:rPr>
                <w:rFonts w:asciiTheme="majorHAnsi" w:hAnsiTheme="majorHAnsi"/>
                <w:sz w:val="20"/>
                <w:szCs w:val="20"/>
              </w:rPr>
              <w:t xml:space="preserve"> 2013</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Loss of control</w:t>
            </w:r>
          </w:p>
        </w:tc>
        <w:tc>
          <w:tcPr>
            <w:tcW w:w="10632" w:type="dxa"/>
          </w:tcPr>
          <w:p w:rsidR="00937694" w:rsidRPr="00AB369C" w:rsidRDefault="00295AC1" w:rsidP="001574C5">
            <w:pPr>
              <w:pStyle w:val="ListParagraph"/>
              <w:numPr>
                <w:ilvl w:val="0"/>
                <w:numId w:val="4"/>
              </w:numPr>
              <w:rPr>
                <w:rFonts w:asciiTheme="majorHAnsi" w:hAnsiTheme="majorHAnsi"/>
                <w:sz w:val="20"/>
                <w:szCs w:val="20"/>
              </w:rPr>
            </w:pPr>
            <w:r w:rsidRPr="00AB369C">
              <w:rPr>
                <w:rFonts w:asciiTheme="majorHAnsi" w:hAnsiTheme="majorHAnsi"/>
                <w:sz w:val="20"/>
                <w:szCs w:val="20"/>
              </w:rPr>
              <w:t>Self-control and discipline were necessary in order to prioritise responsibilities and counteract the powerful appeal of alcohol, often referred to using metaphors suggesting the natural force of water (e.g. ‘</w:t>
            </w:r>
            <w:r w:rsidRPr="00AB369C">
              <w:rPr>
                <w:rFonts w:asciiTheme="majorHAnsi" w:hAnsiTheme="majorHAnsi"/>
                <w:i/>
                <w:sz w:val="20"/>
                <w:szCs w:val="20"/>
              </w:rPr>
              <w:t>swept along’, ‘go with the ﬂow’</w:t>
            </w:r>
            <w:r w:rsidRPr="00AB369C">
              <w:rPr>
                <w:rFonts w:asciiTheme="majorHAnsi" w:hAnsiTheme="majorHAnsi"/>
                <w:sz w:val="20"/>
                <w:szCs w:val="20"/>
              </w:rPr>
              <w:t>). Emslie, Hunt &amp; Lyons 2012</w:t>
            </w:r>
          </w:p>
          <w:p w:rsidR="00295AC1" w:rsidRPr="00AB369C" w:rsidRDefault="00295AC1" w:rsidP="001574C5">
            <w:pPr>
              <w:pStyle w:val="ListParagraph"/>
              <w:numPr>
                <w:ilvl w:val="0"/>
                <w:numId w:val="4"/>
              </w:numPr>
              <w:rPr>
                <w:rFonts w:asciiTheme="majorHAnsi" w:hAnsiTheme="majorHAnsi"/>
                <w:sz w:val="20"/>
                <w:szCs w:val="20"/>
              </w:rPr>
            </w:pPr>
            <w:r w:rsidRPr="00AB369C">
              <w:rPr>
                <w:rFonts w:asciiTheme="majorHAnsi" w:hAnsiTheme="majorHAnsi"/>
                <w:sz w:val="20"/>
                <w:szCs w:val="20"/>
              </w:rPr>
              <w:t>“Several people referred to their judgment being adversely affected after drinking. ‘‘</w:t>
            </w:r>
            <w:r w:rsidRPr="00AB369C">
              <w:rPr>
                <w:rFonts w:asciiTheme="majorHAnsi" w:hAnsiTheme="majorHAnsi"/>
                <w:i/>
                <w:sz w:val="20"/>
                <w:szCs w:val="20"/>
              </w:rPr>
              <w:t>Brain’s out, beer takes over’’</w:t>
            </w:r>
            <w:r w:rsidRPr="00AB369C">
              <w:rPr>
                <w:rFonts w:asciiTheme="majorHAnsi" w:hAnsiTheme="majorHAnsi"/>
                <w:sz w:val="20"/>
                <w:szCs w:val="20"/>
              </w:rPr>
              <w:t xml:space="preserve"> as one participant put it.” Orford et al., 2002</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Passing the ‘point of no return’</w:t>
            </w:r>
          </w:p>
        </w:tc>
        <w:tc>
          <w:tcPr>
            <w:tcW w:w="10632" w:type="dxa"/>
          </w:tcPr>
          <w:p w:rsidR="001574C5" w:rsidRPr="00AB369C" w:rsidRDefault="00295AC1" w:rsidP="00AC2F9A">
            <w:pPr>
              <w:pStyle w:val="ListParagraph"/>
              <w:numPr>
                <w:ilvl w:val="0"/>
                <w:numId w:val="5"/>
              </w:numPr>
              <w:rPr>
                <w:rFonts w:asciiTheme="majorHAnsi" w:hAnsiTheme="majorHAnsi"/>
                <w:sz w:val="20"/>
                <w:szCs w:val="20"/>
              </w:rPr>
            </w:pPr>
            <w:r w:rsidRPr="00AB369C">
              <w:rPr>
                <w:rFonts w:asciiTheme="majorHAnsi" w:hAnsiTheme="majorHAnsi"/>
                <w:sz w:val="20"/>
                <w:szCs w:val="20"/>
              </w:rPr>
              <w:t xml:space="preserve">“Changing physical stance and/or moving away from the immediate social situation (for example, going to the toilet or standing up) </w:t>
            </w:r>
            <w:proofErr w:type="gramStart"/>
            <w:r w:rsidRPr="00AB369C">
              <w:rPr>
                <w:rFonts w:asciiTheme="majorHAnsi" w:hAnsiTheme="majorHAnsi"/>
                <w:sz w:val="20"/>
                <w:szCs w:val="20"/>
              </w:rPr>
              <w:t>was</w:t>
            </w:r>
            <w:proofErr w:type="gramEnd"/>
            <w:r w:rsidRPr="00AB369C">
              <w:rPr>
                <w:rFonts w:asciiTheme="majorHAnsi" w:hAnsiTheme="majorHAnsi"/>
                <w:sz w:val="20"/>
                <w:szCs w:val="20"/>
              </w:rPr>
              <w:t xml:space="preserve"> frequently the ﬁrst moment when participants realised that they had passed tha</w:t>
            </w:r>
            <w:r w:rsidR="00AC2F9A" w:rsidRPr="00AB369C">
              <w:rPr>
                <w:rFonts w:asciiTheme="majorHAnsi" w:hAnsiTheme="majorHAnsi"/>
                <w:sz w:val="20"/>
                <w:szCs w:val="20"/>
              </w:rPr>
              <w:t>t limit.” Lyons, Emslie &amp; Hunt</w:t>
            </w:r>
            <w:r w:rsidRPr="00AB369C">
              <w:rPr>
                <w:rFonts w:asciiTheme="majorHAnsi" w:hAnsiTheme="majorHAnsi"/>
                <w:sz w:val="20"/>
                <w:szCs w:val="20"/>
              </w:rPr>
              <w:t xml:space="preserve"> 2014</w:t>
            </w:r>
          </w:p>
        </w:tc>
      </w:tr>
      <w:tr w:rsidR="001574C5" w:rsidRPr="00AB369C" w:rsidTr="00865A70">
        <w:tc>
          <w:tcPr>
            <w:tcW w:w="1265" w:type="dxa"/>
            <w:vMerge w:val="restart"/>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Social Norms and Identity</w:t>
            </w:r>
          </w:p>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Alcohol as a symbol of masculinity</w:t>
            </w:r>
          </w:p>
        </w:tc>
        <w:tc>
          <w:tcPr>
            <w:tcW w:w="10632" w:type="dxa"/>
          </w:tcPr>
          <w:p w:rsidR="001574C5" w:rsidRPr="00AB369C" w:rsidRDefault="008E2F4B" w:rsidP="008E2F4B">
            <w:pPr>
              <w:pStyle w:val="ListParagraph"/>
              <w:numPr>
                <w:ilvl w:val="0"/>
                <w:numId w:val="5"/>
              </w:numPr>
              <w:rPr>
                <w:rFonts w:asciiTheme="majorHAnsi" w:hAnsiTheme="majorHAnsi"/>
                <w:sz w:val="20"/>
                <w:szCs w:val="20"/>
              </w:rPr>
            </w:pPr>
            <w:r w:rsidRPr="00AB369C">
              <w:rPr>
                <w:rFonts w:asciiTheme="majorHAnsi" w:hAnsiTheme="majorHAnsi"/>
                <w:sz w:val="20"/>
                <w:szCs w:val="20"/>
              </w:rPr>
              <w:t>“</w:t>
            </w:r>
            <w:r w:rsidR="00005B28" w:rsidRPr="00AB369C">
              <w:rPr>
                <w:rFonts w:asciiTheme="majorHAnsi" w:hAnsiTheme="majorHAnsi"/>
                <w:sz w:val="20"/>
                <w:szCs w:val="20"/>
              </w:rPr>
              <w:t>Respondents in most of the</w:t>
            </w:r>
            <w:r w:rsidRPr="00AB369C">
              <w:rPr>
                <w:rFonts w:asciiTheme="majorHAnsi" w:hAnsiTheme="majorHAnsi"/>
                <w:sz w:val="20"/>
                <w:szCs w:val="20"/>
              </w:rPr>
              <w:t xml:space="preserve"> </w:t>
            </w:r>
            <w:r w:rsidR="00005B28" w:rsidRPr="00AB369C">
              <w:rPr>
                <w:rFonts w:asciiTheme="majorHAnsi" w:hAnsiTheme="majorHAnsi"/>
                <w:sz w:val="20"/>
                <w:szCs w:val="20"/>
              </w:rPr>
              <w:t>heavier drinking groups found the idea of men going out for coffee or a meal together, rather than a pint, unlikely or laughable.</w:t>
            </w:r>
            <w:r w:rsidRPr="00AB369C">
              <w:rPr>
                <w:rFonts w:asciiTheme="majorHAnsi" w:hAnsiTheme="majorHAnsi"/>
                <w:sz w:val="20"/>
                <w:szCs w:val="20"/>
              </w:rPr>
              <w:t>”</w:t>
            </w:r>
            <w:r w:rsidR="00005B28" w:rsidRPr="00AB369C">
              <w:rPr>
                <w:rFonts w:asciiTheme="majorHAnsi" w:hAnsiTheme="majorHAnsi"/>
                <w:sz w:val="20"/>
                <w:szCs w:val="20"/>
              </w:rPr>
              <w:t xml:space="preserve"> Emslie</w:t>
            </w:r>
            <w:r w:rsidRPr="00AB369C">
              <w:rPr>
                <w:rFonts w:asciiTheme="majorHAnsi" w:hAnsiTheme="majorHAnsi"/>
                <w:sz w:val="20"/>
                <w:szCs w:val="20"/>
              </w:rPr>
              <w:t>, Hunt &amp; Lyons</w:t>
            </w:r>
            <w:r w:rsidR="00005B28" w:rsidRPr="00AB369C">
              <w:rPr>
                <w:rFonts w:asciiTheme="majorHAnsi" w:hAnsiTheme="majorHAnsi"/>
                <w:sz w:val="20"/>
                <w:szCs w:val="20"/>
              </w:rPr>
              <w:t xml:space="preserve"> 2012</w:t>
            </w:r>
          </w:p>
          <w:p w:rsidR="00005B28" w:rsidRPr="00AB369C" w:rsidRDefault="008E2F4B" w:rsidP="00005B28">
            <w:pPr>
              <w:pStyle w:val="ListParagraph"/>
              <w:numPr>
                <w:ilvl w:val="0"/>
                <w:numId w:val="5"/>
              </w:numPr>
              <w:rPr>
                <w:rFonts w:asciiTheme="majorHAnsi" w:hAnsiTheme="majorHAnsi"/>
                <w:sz w:val="20"/>
                <w:szCs w:val="20"/>
              </w:rPr>
            </w:pPr>
            <w:r w:rsidRPr="00AB369C">
              <w:rPr>
                <w:rFonts w:asciiTheme="majorHAnsi" w:hAnsiTheme="majorHAnsi"/>
                <w:w w:val="105"/>
                <w:sz w:val="20"/>
                <w:szCs w:val="20"/>
              </w:rPr>
              <w:t>“Men’s</w:t>
            </w:r>
            <w:r w:rsidRPr="00AB369C">
              <w:rPr>
                <w:rFonts w:asciiTheme="majorHAnsi" w:hAnsiTheme="majorHAnsi"/>
                <w:spacing w:val="-17"/>
                <w:w w:val="105"/>
                <w:sz w:val="20"/>
                <w:szCs w:val="20"/>
              </w:rPr>
              <w:t xml:space="preserve"> </w:t>
            </w:r>
            <w:r w:rsidRPr="00AB369C">
              <w:rPr>
                <w:rFonts w:asciiTheme="majorHAnsi" w:hAnsiTheme="majorHAnsi"/>
                <w:w w:val="105"/>
                <w:sz w:val="20"/>
                <w:szCs w:val="20"/>
              </w:rPr>
              <w:t>heavy consumption of beer with groups of other men in pubs was valorised” Wilson et al., 2013</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Social judgements on price and quality of alcohol</w:t>
            </w:r>
          </w:p>
        </w:tc>
        <w:tc>
          <w:tcPr>
            <w:tcW w:w="10632" w:type="dxa"/>
          </w:tcPr>
          <w:p w:rsidR="008E2F4B" w:rsidRPr="00AB369C" w:rsidRDefault="008E2F4B" w:rsidP="008E2F4B">
            <w:pPr>
              <w:pStyle w:val="ListParagraph"/>
              <w:numPr>
                <w:ilvl w:val="0"/>
                <w:numId w:val="9"/>
              </w:numPr>
              <w:rPr>
                <w:rFonts w:asciiTheme="majorHAnsi" w:hAnsiTheme="majorHAnsi"/>
                <w:color w:val="231F20"/>
                <w:sz w:val="20"/>
                <w:szCs w:val="20"/>
              </w:rPr>
            </w:pPr>
            <w:r w:rsidRPr="00AB369C">
              <w:rPr>
                <w:rFonts w:asciiTheme="majorHAnsi" w:hAnsiTheme="majorHAnsi"/>
                <w:color w:val="231F20"/>
                <w:sz w:val="20"/>
                <w:szCs w:val="20"/>
              </w:rPr>
              <w:t>“Participant</w:t>
            </w:r>
            <w:r w:rsidRPr="00AB369C">
              <w:rPr>
                <w:rFonts w:asciiTheme="majorHAnsi" w:hAnsiTheme="majorHAnsi"/>
                <w:color w:val="231F20"/>
                <w:spacing w:val="-8"/>
                <w:sz w:val="20"/>
                <w:szCs w:val="20"/>
              </w:rPr>
              <w:t xml:space="preserve"> </w:t>
            </w:r>
            <w:r w:rsidRPr="00AB369C">
              <w:rPr>
                <w:rFonts w:asciiTheme="majorHAnsi" w:hAnsiTheme="majorHAnsi"/>
                <w:color w:val="231F20"/>
                <w:sz w:val="20"/>
                <w:szCs w:val="20"/>
              </w:rPr>
              <w:t>perceptions</w:t>
            </w:r>
            <w:r w:rsidRPr="00AB369C">
              <w:rPr>
                <w:rFonts w:asciiTheme="majorHAnsi" w:hAnsiTheme="majorHAnsi"/>
                <w:color w:val="231F20"/>
                <w:spacing w:val="-8"/>
                <w:sz w:val="20"/>
                <w:szCs w:val="20"/>
              </w:rPr>
              <w:t xml:space="preserve"> </w:t>
            </w:r>
            <w:r w:rsidRPr="00AB369C">
              <w:rPr>
                <w:rFonts w:asciiTheme="majorHAnsi" w:hAnsiTheme="majorHAnsi"/>
                <w:color w:val="231F20"/>
                <w:sz w:val="20"/>
                <w:szCs w:val="20"/>
              </w:rPr>
              <w:t>were</w:t>
            </w:r>
            <w:r w:rsidRPr="00AB369C">
              <w:rPr>
                <w:rFonts w:asciiTheme="majorHAnsi" w:hAnsiTheme="majorHAnsi"/>
                <w:color w:val="231F20"/>
                <w:spacing w:val="-8"/>
                <w:sz w:val="20"/>
                <w:szCs w:val="20"/>
              </w:rPr>
              <w:t xml:space="preserve"> </w:t>
            </w:r>
            <w:r w:rsidRPr="00AB369C">
              <w:rPr>
                <w:rFonts w:asciiTheme="majorHAnsi" w:hAnsiTheme="majorHAnsi"/>
                <w:color w:val="231F20"/>
                <w:sz w:val="20"/>
                <w:szCs w:val="20"/>
              </w:rPr>
              <w:t>that</w:t>
            </w:r>
            <w:r w:rsidRPr="00AB369C">
              <w:rPr>
                <w:rFonts w:asciiTheme="majorHAnsi" w:hAnsiTheme="majorHAnsi"/>
                <w:color w:val="231F20"/>
                <w:spacing w:val="-8"/>
                <w:sz w:val="20"/>
                <w:szCs w:val="20"/>
              </w:rPr>
              <w:t xml:space="preserve"> </w:t>
            </w:r>
            <w:r w:rsidRPr="00AB369C">
              <w:rPr>
                <w:rFonts w:asciiTheme="majorHAnsi" w:hAnsiTheme="majorHAnsi"/>
                <w:color w:val="231F20"/>
                <w:sz w:val="20"/>
                <w:szCs w:val="20"/>
              </w:rPr>
              <w:t>wine</w:t>
            </w:r>
            <w:r w:rsidRPr="00AB369C">
              <w:rPr>
                <w:rFonts w:asciiTheme="majorHAnsi" w:hAnsiTheme="majorHAnsi"/>
                <w:color w:val="231F20"/>
                <w:spacing w:val="-8"/>
                <w:sz w:val="20"/>
                <w:szCs w:val="20"/>
              </w:rPr>
              <w:t xml:space="preserve"> </w:t>
            </w:r>
            <w:r w:rsidRPr="00AB369C">
              <w:rPr>
                <w:rFonts w:asciiTheme="majorHAnsi" w:hAnsiTheme="majorHAnsi"/>
                <w:color w:val="231F20"/>
                <w:sz w:val="20"/>
                <w:szCs w:val="20"/>
              </w:rPr>
              <w:t>was</w:t>
            </w:r>
            <w:r w:rsidRPr="00AB369C">
              <w:rPr>
                <w:rFonts w:asciiTheme="majorHAnsi" w:hAnsiTheme="majorHAnsi"/>
                <w:color w:val="231F20"/>
                <w:spacing w:val="-8"/>
                <w:sz w:val="20"/>
                <w:szCs w:val="20"/>
              </w:rPr>
              <w:t xml:space="preserve"> </w:t>
            </w:r>
            <w:r w:rsidRPr="00AB369C">
              <w:rPr>
                <w:rFonts w:asciiTheme="majorHAnsi" w:hAnsiTheme="majorHAnsi"/>
                <w:color w:val="231F20"/>
                <w:sz w:val="20"/>
                <w:szCs w:val="20"/>
              </w:rPr>
              <w:t>‘classy’</w:t>
            </w:r>
            <w:r w:rsidRPr="00AB369C">
              <w:rPr>
                <w:rFonts w:asciiTheme="majorHAnsi" w:hAnsiTheme="majorHAnsi"/>
                <w:color w:val="231F20"/>
                <w:spacing w:val="-20"/>
                <w:sz w:val="20"/>
                <w:szCs w:val="20"/>
              </w:rPr>
              <w:t xml:space="preserve"> </w:t>
            </w:r>
            <w:r w:rsidRPr="00AB369C">
              <w:rPr>
                <w:rFonts w:asciiTheme="majorHAnsi" w:hAnsiTheme="majorHAnsi"/>
                <w:color w:val="231F20"/>
                <w:sz w:val="20"/>
                <w:szCs w:val="20"/>
              </w:rPr>
              <w:t>–</w:t>
            </w:r>
            <w:r w:rsidRPr="00AB369C">
              <w:rPr>
                <w:rFonts w:asciiTheme="majorHAnsi" w:hAnsiTheme="majorHAnsi"/>
                <w:color w:val="231F20"/>
                <w:spacing w:val="-8"/>
                <w:sz w:val="20"/>
                <w:szCs w:val="20"/>
              </w:rPr>
              <w:t xml:space="preserve"> </w:t>
            </w:r>
            <w:r w:rsidRPr="00AB369C">
              <w:rPr>
                <w:rFonts w:asciiTheme="majorHAnsi" w:hAnsiTheme="majorHAnsi"/>
                <w:color w:val="231F20"/>
                <w:sz w:val="20"/>
                <w:szCs w:val="20"/>
              </w:rPr>
              <w:t>more</w:t>
            </w:r>
            <w:r w:rsidRPr="00AB369C">
              <w:rPr>
                <w:rFonts w:asciiTheme="majorHAnsi" w:hAnsiTheme="majorHAnsi"/>
                <w:color w:val="231F20"/>
                <w:spacing w:val="-8"/>
                <w:sz w:val="20"/>
                <w:szCs w:val="20"/>
              </w:rPr>
              <w:t xml:space="preserve"> </w:t>
            </w:r>
            <w:r w:rsidRPr="00AB369C">
              <w:rPr>
                <w:rFonts w:asciiTheme="majorHAnsi" w:hAnsiTheme="majorHAnsi"/>
                <w:color w:val="231F20"/>
                <w:sz w:val="20"/>
                <w:szCs w:val="20"/>
              </w:rPr>
              <w:t>sophisticated than other alcoholic drinks.” Ritchie</w:t>
            </w:r>
            <w:r w:rsidR="009B30B7" w:rsidRPr="00AB369C">
              <w:rPr>
                <w:rFonts w:asciiTheme="majorHAnsi" w:hAnsiTheme="majorHAnsi"/>
                <w:color w:val="231F20"/>
                <w:sz w:val="20"/>
                <w:szCs w:val="20"/>
              </w:rPr>
              <w:t xml:space="preserve"> 2007</w:t>
            </w:r>
          </w:p>
          <w:p w:rsidR="001574C5" w:rsidRPr="00AB369C" w:rsidRDefault="008E2F4B" w:rsidP="008E2F4B">
            <w:pPr>
              <w:pStyle w:val="ListParagraph"/>
              <w:numPr>
                <w:ilvl w:val="0"/>
                <w:numId w:val="8"/>
              </w:numPr>
              <w:rPr>
                <w:rFonts w:asciiTheme="majorHAnsi" w:hAnsiTheme="majorHAnsi"/>
                <w:sz w:val="20"/>
                <w:szCs w:val="20"/>
              </w:rPr>
            </w:pPr>
            <w:r w:rsidRPr="00AB369C">
              <w:rPr>
                <w:rFonts w:asciiTheme="majorHAnsi" w:hAnsiTheme="majorHAnsi"/>
                <w:color w:val="231F20"/>
                <w:sz w:val="20"/>
                <w:szCs w:val="20"/>
              </w:rPr>
              <w:t>“Unemployed</w:t>
            </w:r>
            <w:r w:rsidRPr="00AB369C">
              <w:rPr>
                <w:rFonts w:asciiTheme="majorHAnsi" w:hAnsiTheme="majorHAnsi"/>
                <w:color w:val="231F20"/>
                <w:spacing w:val="-5"/>
                <w:sz w:val="20"/>
                <w:szCs w:val="20"/>
              </w:rPr>
              <w:t xml:space="preserve"> </w:t>
            </w:r>
            <w:r w:rsidRPr="00AB369C">
              <w:rPr>
                <w:rFonts w:asciiTheme="majorHAnsi" w:hAnsiTheme="majorHAnsi"/>
                <w:color w:val="231F20"/>
                <w:sz w:val="20"/>
                <w:szCs w:val="20"/>
              </w:rPr>
              <w:t xml:space="preserve">men constructed their current position (drinking strong, cheap cider or beer at home) as stigmatized, and contrasted this with the satisfaction they felt when they were working and able to afford to drink the leading Scottish brand of beer in the pub.” </w:t>
            </w:r>
            <w:r w:rsidRPr="00AB369C">
              <w:rPr>
                <w:rFonts w:asciiTheme="majorHAnsi" w:hAnsiTheme="majorHAnsi"/>
                <w:sz w:val="20"/>
                <w:szCs w:val="20"/>
              </w:rPr>
              <w:t>Emslie, Hunt &amp; Lyons 2013</w:t>
            </w:r>
          </w:p>
        </w:tc>
      </w:tr>
      <w:tr w:rsidR="001574C5" w:rsidRPr="00AB369C" w:rsidTr="00865A70">
        <w:tc>
          <w:tcPr>
            <w:tcW w:w="1265" w:type="dxa"/>
            <w:vMerge w:val="restart"/>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Harm</w:t>
            </w:r>
          </w:p>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Negative psychological and physical effects of drinking</w:t>
            </w:r>
          </w:p>
        </w:tc>
        <w:tc>
          <w:tcPr>
            <w:tcW w:w="10632" w:type="dxa"/>
          </w:tcPr>
          <w:p w:rsidR="001574C5" w:rsidRPr="00AB369C" w:rsidRDefault="00432F2F" w:rsidP="00865A70">
            <w:pPr>
              <w:pStyle w:val="ListParagraph"/>
              <w:numPr>
                <w:ilvl w:val="0"/>
                <w:numId w:val="5"/>
              </w:numPr>
              <w:autoSpaceDE w:val="0"/>
              <w:autoSpaceDN w:val="0"/>
              <w:adjustRightInd w:val="0"/>
              <w:jc w:val="left"/>
              <w:rPr>
                <w:rFonts w:asciiTheme="majorHAnsi" w:hAnsiTheme="majorHAnsi" w:cs="AdvTimes"/>
                <w:sz w:val="20"/>
                <w:szCs w:val="20"/>
              </w:rPr>
            </w:pPr>
            <w:r w:rsidRPr="00AB369C">
              <w:rPr>
                <w:rFonts w:asciiTheme="majorHAnsi" w:hAnsiTheme="majorHAnsi" w:cs="AdvTimes"/>
                <w:sz w:val="20"/>
                <w:szCs w:val="20"/>
              </w:rPr>
              <w:t>“</w:t>
            </w:r>
            <w:r w:rsidRPr="00AB369C">
              <w:rPr>
                <w:rFonts w:asciiTheme="majorHAnsi" w:hAnsiTheme="majorHAnsi"/>
                <w:sz w:val="20"/>
                <w:szCs w:val="20"/>
              </w:rPr>
              <w:t xml:space="preserve">A minority described very unpleasant after-effects [of drinking], including depression and ‘‘despair’’, getting the shakes and wanting to ‘‘hibernate’’ and not leave the house, or hangovers becoming worse with age to the point of feeling close to death on occasions.” </w:t>
            </w:r>
            <w:r w:rsidR="00865A70" w:rsidRPr="00AB369C">
              <w:rPr>
                <w:rFonts w:asciiTheme="majorHAnsi" w:hAnsiTheme="majorHAnsi" w:cs="AdvTimes"/>
                <w:sz w:val="20"/>
                <w:szCs w:val="20"/>
              </w:rPr>
              <w:t>Orford et al., 2002</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Concerns surrounding male mental health and emotional vulnerability</w:t>
            </w:r>
          </w:p>
        </w:tc>
        <w:tc>
          <w:tcPr>
            <w:tcW w:w="10632" w:type="dxa"/>
          </w:tcPr>
          <w:p w:rsidR="00432F2F" w:rsidRPr="00AB369C" w:rsidRDefault="00432F2F" w:rsidP="00937694">
            <w:pPr>
              <w:pStyle w:val="ListParagraph"/>
              <w:numPr>
                <w:ilvl w:val="0"/>
                <w:numId w:val="5"/>
              </w:numPr>
              <w:rPr>
                <w:rFonts w:asciiTheme="majorHAnsi" w:hAnsiTheme="majorHAnsi"/>
                <w:sz w:val="20"/>
                <w:szCs w:val="20"/>
              </w:rPr>
            </w:pPr>
            <w:r w:rsidRPr="00AB369C">
              <w:rPr>
                <w:rFonts w:asciiTheme="majorHAnsi" w:hAnsiTheme="majorHAnsi"/>
                <w:sz w:val="20"/>
                <w:szCs w:val="20"/>
              </w:rPr>
              <w:t>“Respondents were aware that alcohol is a depressant and its aftereffects were referred to colloquially as ‘</w:t>
            </w:r>
            <w:r w:rsidRPr="00AB369C">
              <w:rPr>
                <w:rFonts w:asciiTheme="majorHAnsi" w:hAnsiTheme="majorHAnsi"/>
                <w:i/>
                <w:sz w:val="20"/>
                <w:szCs w:val="20"/>
              </w:rPr>
              <w:t>session depression</w:t>
            </w:r>
            <w:r w:rsidRPr="00AB369C">
              <w:rPr>
                <w:rFonts w:asciiTheme="majorHAnsi" w:hAnsiTheme="majorHAnsi"/>
                <w:sz w:val="20"/>
                <w:szCs w:val="20"/>
              </w:rPr>
              <w:t>’ and ‘</w:t>
            </w:r>
            <w:r w:rsidRPr="00AB369C">
              <w:rPr>
                <w:rFonts w:asciiTheme="majorHAnsi" w:hAnsiTheme="majorHAnsi"/>
                <w:i/>
                <w:sz w:val="20"/>
                <w:szCs w:val="20"/>
              </w:rPr>
              <w:t>the Sunday Blues</w:t>
            </w:r>
            <w:r w:rsidRPr="00AB369C">
              <w:rPr>
                <w:rFonts w:asciiTheme="majorHAnsi" w:hAnsiTheme="majorHAnsi"/>
                <w:sz w:val="20"/>
                <w:szCs w:val="20"/>
              </w:rPr>
              <w:t>’.” Emslie, Hunt &amp; Lyons 2013</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Link between alcohol and aggression</w:t>
            </w:r>
          </w:p>
        </w:tc>
        <w:tc>
          <w:tcPr>
            <w:tcW w:w="10632" w:type="dxa"/>
          </w:tcPr>
          <w:p w:rsidR="001574C5" w:rsidRPr="00AB369C" w:rsidRDefault="00512CF9" w:rsidP="00865A70">
            <w:pPr>
              <w:pStyle w:val="ListParagraph"/>
              <w:numPr>
                <w:ilvl w:val="0"/>
                <w:numId w:val="9"/>
              </w:numPr>
              <w:rPr>
                <w:rFonts w:asciiTheme="majorHAnsi" w:hAnsiTheme="majorHAnsi"/>
                <w:sz w:val="20"/>
                <w:szCs w:val="20"/>
              </w:rPr>
            </w:pPr>
            <w:r w:rsidRPr="00AB369C">
              <w:rPr>
                <w:rFonts w:asciiTheme="majorHAnsi" w:eastAsia="Times New Roman" w:hAnsiTheme="majorHAnsi" w:cs="Times New Roman"/>
                <w:w w:val="105"/>
                <w:sz w:val="20"/>
                <w:szCs w:val="20"/>
                <w:lang w:val="en-US"/>
              </w:rPr>
              <w:t>“It was a commonly expressed view that men often went drinking looking for a fight or expecting trouble.”  Rolfe, et al., 2006</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Interpretation of guidelines</w:t>
            </w:r>
          </w:p>
        </w:tc>
        <w:tc>
          <w:tcPr>
            <w:tcW w:w="10632" w:type="dxa"/>
          </w:tcPr>
          <w:p w:rsidR="001574C5" w:rsidRPr="00AB369C" w:rsidRDefault="00937694" w:rsidP="00937694">
            <w:pPr>
              <w:pStyle w:val="ListParagraph"/>
              <w:numPr>
                <w:ilvl w:val="0"/>
                <w:numId w:val="5"/>
              </w:numPr>
              <w:rPr>
                <w:rFonts w:asciiTheme="majorHAnsi" w:hAnsiTheme="majorHAnsi"/>
                <w:sz w:val="20"/>
                <w:szCs w:val="20"/>
              </w:rPr>
            </w:pPr>
            <w:r w:rsidRPr="00AB369C">
              <w:rPr>
                <w:rFonts w:asciiTheme="majorHAnsi" w:hAnsiTheme="majorHAnsi"/>
                <w:sz w:val="20"/>
                <w:szCs w:val="20"/>
              </w:rPr>
              <w:t>“Participants reached a consensus regarding scepticism about medical advice provided on alcohol. It could be agreed, for instance, that health professionals were overly ready to attribute older people’s health problems to their alcohol intake.” Wilson et al., 2013</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Rejection of harmful effects on health</w:t>
            </w:r>
          </w:p>
        </w:tc>
        <w:tc>
          <w:tcPr>
            <w:tcW w:w="10632" w:type="dxa"/>
          </w:tcPr>
          <w:p w:rsidR="00937694" w:rsidRPr="00AB369C" w:rsidRDefault="00937694" w:rsidP="001574C5">
            <w:pPr>
              <w:pStyle w:val="ListParagraph"/>
              <w:numPr>
                <w:ilvl w:val="0"/>
                <w:numId w:val="5"/>
              </w:numPr>
              <w:rPr>
                <w:rFonts w:asciiTheme="majorHAnsi" w:hAnsiTheme="majorHAnsi"/>
                <w:sz w:val="20"/>
                <w:szCs w:val="20"/>
              </w:rPr>
            </w:pPr>
            <w:r w:rsidRPr="00AB369C">
              <w:rPr>
                <w:rFonts w:asciiTheme="majorHAnsi" w:hAnsiTheme="majorHAnsi"/>
                <w:sz w:val="20"/>
                <w:szCs w:val="20"/>
              </w:rPr>
              <w:t xml:space="preserve">“Most focus group members did not believe that their alcohol consumption was causing risks to their future health, as they saw their drinking as merely episodic.” Foster &amp; </w:t>
            </w:r>
            <w:proofErr w:type="spellStart"/>
            <w:r w:rsidRPr="00AB369C">
              <w:rPr>
                <w:rFonts w:asciiTheme="majorHAnsi" w:hAnsiTheme="majorHAnsi"/>
                <w:sz w:val="20"/>
                <w:szCs w:val="20"/>
              </w:rPr>
              <w:t>Heyman</w:t>
            </w:r>
            <w:proofErr w:type="spellEnd"/>
            <w:r w:rsidRPr="00AB369C">
              <w:rPr>
                <w:rFonts w:asciiTheme="majorHAnsi" w:hAnsiTheme="majorHAnsi"/>
                <w:sz w:val="20"/>
                <w:szCs w:val="20"/>
              </w:rPr>
              <w:t xml:space="preserve"> 2013</w:t>
            </w:r>
          </w:p>
          <w:p w:rsidR="00937694" w:rsidRPr="00AB369C" w:rsidRDefault="00937694" w:rsidP="00865A70">
            <w:pPr>
              <w:pStyle w:val="ListParagraph"/>
              <w:numPr>
                <w:ilvl w:val="0"/>
                <w:numId w:val="5"/>
              </w:numPr>
              <w:rPr>
                <w:rFonts w:asciiTheme="majorHAnsi" w:hAnsiTheme="majorHAnsi"/>
                <w:sz w:val="20"/>
                <w:szCs w:val="20"/>
              </w:rPr>
            </w:pPr>
            <w:r w:rsidRPr="00AB369C">
              <w:rPr>
                <w:rFonts w:asciiTheme="majorHAnsi" w:hAnsiTheme="majorHAnsi"/>
                <w:sz w:val="20"/>
                <w:szCs w:val="20"/>
              </w:rPr>
              <w:t xml:space="preserve">“What was very noticeable was the sparseness of references, in the open-ended material, to concern about the possible chronic effects of alcohol intake on physical health.” </w:t>
            </w:r>
            <w:r w:rsidR="00865A70" w:rsidRPr="00AB369C">
              <w:rPr>
                <w:rFonts w:asciiTheme="majorHAnsi" w:hAnsiTheme="majorHAnsi" w:cs="AdvTimes"/>
                <w:sz w:val="20"/>
                <w:szCs w:val="20"/>
              </w:rPr>
              <w:t>Orford et al., 2002</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Reasons for reducing consumption</w:t>
            </w:r>
          </w:p>
        </w:tc>
        <w:tc>
          <w:tcPr>
            <w:tcW w:w="10632" w:type="dxa"/>
          </w:tcPr>
          <w:p w:rsidR="001574C5" w:rsidRPr="00AB369C" w:rsidRDefault="009B30B7" w:rsidP="009B30B7">
            <w:pPr>
              <w:pStyle w:val="ListParagraph"/>
              <w:numPr>
                <w:ilvl w:val="0"/>
                <w:numId w:val="9"/>
              </w:numPr>
              <w:rPr>
                <w:rFonts w:asciiTheme="majorHAnsi" w:hAnsiTheme="majorHAnsi"/>
                <w:sz w:val="20"/>
                <w:szCs w:val="20"/>
              </w:rPr>
            </w:pPr>
            <w:r w:rsidRPr="00AB369C">
              <w:rPr>
                <w:rFonts w:asciiTheme="majorHAnsi" w:hAnsiTheme="majorHAnsi"/>
                <w:sz w:val="20"/>
                <w:szCs w:val="20"/>
              </w:rPr>
              <w:t>“Both fathers and mothers in the sample felt that their drinking had reduced when their children were very young – particularly because of the difﬁculty of getting up early to look after young children after a heavy night’s drinking.”  Emslie, Hunt &amp; Lyons 2012</w:t>
            </w:r>
          </w:p>
          <w:p w:rsidR="009B30B7" w:rsidRPr="00AB369C" w:rsidRDefault="009B30B7" w:rsidP="009B30B7">
            <w:pPr>
              <w:pStyle w:val="ListParagraph"/>
              <w:numPr>
                <w:ilvl w:val="0"/>
                <w:numId w:val="9"/>
              </w:numPr>
              <w:rPr>
                <w:rFonts w:asciiTheme="majorHAnsi" w:hAnsiTheme="majorHAnsi"/>
                <w:sz w:val="20"/>
                <w:szCs w:val="20"/>
              </w:rPr>
            </w:pPr>
            <w:r w:rsidRPr="00AB369C">
              <w:rPr>
                <w:rFonts w:asciiTheme="majorHAnsi" w:hAnsiTheme="majorHAnsi"/>
                <w:sz w:val="20"/>
                <w:szCs w:val="20"/>
              </w:rPr>
              <w:t xml:space="preserve">“Some participants, especially in the residents’ focus group, indicated that in the past they had been concerned about risks of drinking adversely affecting their future health. They tended to see their high level of alcohol consumption as caused by others, usually partners or friends, and had implemented life changes as a way of minimising the consequent risks.”  Foster &amp; </w:t>
            </w:r>
            <w:proofErr w:type="spellStart"/>
            <w:r w:rsidRPr="00AB369C">
              <w:rPr>
                <w:rFonts w:asciiTheme="majorHAnsi" w:hAnsiTheme="majorHAnsi"/>
                <w:sz w:val="20"/>
                <w:szCs w:val="20"/>
              </w:rPr>
              <w:t>Heyman</w:t>
            </w:r>
            <w:proofErr w:type="spellEnd"/>
            <w:r w:rsidRPr="00AB369C">
              <w:rPr>
                <w:rFonts w:asciiTheme="majorHAnsi" w:hAnsiTheme="majorHAnsi"/>
                <w:sz w:val="20"/>
                <w:szCs w:val="20"/>
              </w:rPr>
              <w:t xml:space="preserve"> 2013</w:t>
            </w:r>
          </w:p>
        </w:tc>
      </w:tr>
      <w:tr w:rsidR="001574C5" w:rsidRPr="00AB369C" w:rsidTr="00865A70">
        <w:tc>
          <w:tcPr>
            <w:tcW w:w="1265" w:type="dxa"/>
            <w:vMerge/>
          </w:tcPr>
          <w:p w:rsidR="001574C5" w:rsidRPr="00AB369C" w:rsidRDefault="001574C5" w:rsidP="001574C5">
            <w:pPr>
              <w:rPr>
                <w:rFonts w:asciiTheme="majorHAnsi" w:hAnsiTheme="majorHAnsi"/>
                <w:sz w:val="20"/>
                <w:szCs w:val="20"/>
              </w:rPr>
            </w:pPr>
          </w:p>
        </w:tc>
        <w:tc>
          <w:tcPr>
            <w:tcW w:w="2245" w:type="dxa"/>
          </w:tcPr>
          <w:p w:rsidR="001574C5" w:rsidRPr="00AB369C" w:rsidRDefault="001574C5" w:rsidP="001574C5">
            <w:pPr>
              <w:rPr>
                <w:rFonts w:asciiTheme="majorHAnsi" w:hAnsiTheme="majorHAnsi"/>
                <w:sz w:val="20"/>
                <w:szCs w:val="20"/>
              </w:rPr>
            </w:pPr>
            <w:r w:rsidRPr="00AB369C">
              <w:rPr>
                <w:rFonts w:asciiTheme="majorHAnsi" w:hAnsiTheme="majorHAnsi"/>
                <w:sz w:val="20"/>
                <w:szCs w:val="20"/>
              </w:rPr>
              <w:t>Perceived drawbacks and benefits of drinking</w:t>
            </w:r>
          </w:p>
        </w:tc>
        <w:tc>
          <w:tcPr>
            <w:tcW w:w="10632" w:type="dxa"/>
          </w:tcPr>
          <w:p w:rsidR="001574C5" w:rsidRPr="00AB369C" w:rsidRDefault="00865A70" w:rsidP="00865A70">
            <w:pPr>
              <w:pStyle w:val="ListParagraph"/>
              <w:numPr>
                <w:ilvl w:val="0"/>
                <w:numId w:val="10"/>
              </w:numPr>
              <w:autoSpaceDE w:val="0"/>
              <w:autoSpaceDN w:val="0"/>
              <w:adjustRightInd w:val="0"/>
              <w:jc w:val="left"/>
              <w:rPr>
                <w:rFonts w:asciiTheme="majorHAnsi" w:hAnsiTheme="majorHAnsi" w:cs="AdvTimes"/>
                <w:sz w:val="20"/>
                <w:szCs w:val="20"/>
              </w:rPr>
            </w:pPr>
            <w:r w:rsidRPr="00AB369C">
              <w:rPr>
                <w:rFonts w:asciiTheme="majorHAnsi" w:hAnsiTheme="majorHAnsi" w:cs="AdvTimes"/>
                <w:sz w:val="20"/>
                <w:szCs w:val="20"/>
              </w:rPr>
              <w:t>“Even amongst this group of very heavy drinkers, the perceived benefits of drinking outweigh the drawbacks. This was true for the sample as a whole, for men and for women, and for the large majority of individual members of the sample.” Orford et al., 2002</w:t>
            </w:r>
          </w:p>
        </w:tc>
      </w:tr>
    </w:tbl>
    <w:p w:rsidR="00D13F3C" w:rsidRDefault="00D13F3C"/>
    <w:sectPr w:rsidR="00D13F3C" w:rsidSect="001574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6EE"/>
    <w:multiLevelType w:val="hybridMultilevel"/>
    <w:tmpl w:val="5450F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F1049B"/>
    <w:multiLevelType w:val="hybridMultilevel"/>
    <w:tmpl w:val="5BEA7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433E7F"/>
    <w:multiLevelType w:val="hybridMultilevel"/>
    <w:tmpl w:val="9254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1A3A6E"/>
    <w:multiLevelType w:val="hybridMultilevel"/>
    <w:tmpl w:val="AC4EC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2E6370"/>
    <w:multiLevelType w:val="hybridMultilevel"/>
    <w:tmpl w:val="F2D6B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DF46FB"/>
    <w:multiLevelType w:val="hybridMultilevel"/>
    <w:tmpl w:val="A0F6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222153"/>
    <w:multiLevelType w:val="hybridMultilevel"/>
    <w:tmpl w:val="4156D9B8"/>
    <w:lvl w:ilvl="0" w:tplc="04D0118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6242D"/>
    <w:multiLevelType w:val="hybridMultilevel"/>
    <w:tmpl w:val="233AB724"/>
    <w:lvl w:ilvl="0" w:tplc="04D0118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7E21C1"/>
    <w:multiLevelType w:val="hybridMultilevel"/>
    <w:tmpl w:val="3FAC3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A000BA"/>
    <w:multiLevelType w:val="hybridMultilevel"/>
    <w:tmpl w:val="7C404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0"/>
  </w:num>
  <w:num w:numId="6">
    <w:abstractNumId w:val="1"/>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3C"/>
    <w:rsid w:val="00005B28"/>
    <w:rsid w:val="00072215"/>
    <w:rsid w:val="001574C5"/>
    <w:rsid w:val="00295AC1"/>
    <w:rsid w:val="00374E27"/>
    <w:rsid w:val="00432F2F"/>
    <w:rsid w:val="004F7E1B"/>
    <w:rsid w:val="00512CF9"/>
    <w:rsid w:val="005673A6"/>
    <w:rsid w:val="00575062"/>
    <w:rsid w:val="007407CE"/>
    <w:rsid w:val="00783053"/>
    <w:rsid w:val="00811954"/>
    <w:rsid w:val="00865A70"/>
    <w:rsid w:val="008E2F4B"/>
    <w:rsid w:val="00937694"/>
    <w:rsid w:val="0099049D"/>
    <w:rsid w:val="009B30B7"/>
    <w:rsid w:val="00AB369C"/>
    <w:rsid w:val="00AC2F9A"/>
    <w:rsid w:val="00B45494"/>
    <w:rsid w:val="00D13F3C"/>
    <w:rsid w:val="00DF5722"/>
    <w:rsid w:val="00E53C4B"/>
    <w:rsid w:val="00F8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53C4B"/>
    <w:pPr>
      <w:widowControl w:val="0"/>
      <w:ind w:left="101" w:firstLine="179"/>
      <w:jc w:val="left"/>
    </w:pPr>
    <w:rPr>
      <w:rFonts w:ascii="Garamond" w:eastAsia="Garamond" w:hAnsi="Garamond"/>
      <w:sz w:val="18"/>
      <w:szCs w:val="18"/>
      <w:lang w:val="en-US"/>
    </w:rPr>
  </w:style>
  <w:style w:type="character" w:customStyle="1" w:styleId="BodyTextChar">
    <w:name w:val="Body Text Char"/>
    <w:basedOn w:val="DefaultParagraphFont"/>
    <w:link w:val="BodyText"/>
    <w:uiPriority w:val="1"/>
    <w:rsid w:val="00E53C4B"/>
    <w:rPr>
      <w:rFonts w:ascii="Garamond" w:eastAsia="Garamond" w:hAnsi="Garamond"/>
      <w:sz w:val="18"/>
      <w:szCs w:val="18"/>
      <w:lang w:val="en-US"/>
    </w:rPr>
  </w:style>
  <w:style w:type="paragraph" w:styleId="ListParagraph">
    <w:name w:val="List Paragraph"/>
    <w:basedOn w:val="Normal"/>
    <w:uiPriority w:val="34"/>
    <w:qFormat/>
    <w:rsid w:val="00937694"/>
    <w:pPr>
      <w:ind w:left="720"/>
      <w:contextualSpacing/>
    </w:pPr>
  </w:style>
  <w:style w:type="paragraph" w:styleId="CommentText">
    <w:name w:val="annotation text"/>
    <w:basedOn w:val="Normal"/>
    <w:link w:val="CommentTextChar"/>
    <w:uiPriority w:val="99"/>
    <w:unhideWhenUsed/>
    <w:rsid w:val="00005B28"/>
    <w:pPr>
      <w:widowControl w:val="0"/>
      <w:jc w:val="left"/>
    </w:pPr>
    <w:rPr>
      <w:sz w:val="20"/>
      <w:szCs w:val="20"/>
      <w:lang w:val="en-US"/>
    </w:rPr>
  </w:style>
  <w:style w:type="character" w:customStyle="1" w:styleId="CommentTextChar">
    <w:name w:val="Comment Text Char"/>
    <w:basedOn w:val="DefaultParagraphFont"/>
    <w:link w:val="CommentText"/>
    <w:uiPriority w:val="99"/>
    <w:rsid w:val="00005B28"/>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53C4B"/>
    <w:pPr>
      <w:widowControl w:val="0"/>
      <w:ind w:left="101" w:firstLine="179"/>
      <w:jc w:val="left"/>
    </w:pPr>
    <w:rPr>
      <w:rFonts w:ascii="Garamond" w:eastAsia="Garamond" w:hAnsi="Garamond"/>
      <w:sz w:val="18"/>
      <w:szCs w:val="18"/>
      <w:lang w:val="en-US"/>
    </w:rPr>
  </w:style>
  <w:style w:type="character" w:customStyle="1" w:styleId="BodyTextChar">
    <w:name w:val="Body Text Char"/>
    <w:basedOn w:val="DefaultParagraphFont"/>
    <w:link w:val="BodyText"/>
    <w:uiPriority w:val="1"/>
    <w:rsid w:val="00E53C4B"/>
    <w:rPr>
      <w:rFonts w:ascii="Garamond" w:eastAsia="Garamond" w:hAnsi="Garamond"/>
      <w:sz w:val="18"/>
      <w:szCs w:val="18"/>
      <w:lang w:val="en-US"/>
    </w:rPr>
  </w:style>
  <w:style w:type="paragraph" w:styleId="ListParagraph">
    <w:name w:val="List Paragraph"/>
    <w:basedOn w:val="Normal"/>
    <w:uiPriority w:val="34"/>
    <w:qFormat/>
    <w:rsid w:val="00937694"/>
    <w:pPr>
      <w:ind w:left="720"/>
      <w:contextualSpacing/>
    </w:pPr>
  </w:style>
  <w:style w:type="paragraph" w:styleId="CommentText">
    <w:name w:val="annotation text"/>
    <w:basedOn w:val="Normal"/>
    <w:link w:val="CommentTextChar"/>
    <w:uiPriority w:val="99"/>
    <w:unhideWhenUsed/>
    <w:rsid w:val="00005B28"/>
    <w:pPr>
      <w:widowControl w:val="0"/>
      <w:jc w:val="left"/>
    </w:pPr>
    <w:rPr>
      <w:sz w:val="20"/>
      <w:szCs w:val="20"/>
      <w:lang w:val="en-US"/>
    </w:rPr>
  </w:style>
  <w:style w:type="character" w:customStyle="1" w:styleId="CommentTextChar">
    <w:name w:val="Comment Text Char"/>
    <w:basedOn w:val="DefaultParagraphFont"/>
    <w:link w:val="CommentText"/>
    <w:uiPriority w:val="99"/>
    <w:rsid w:val="00005B2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John Larsen</cp:lastModifiedBy>
  <cp:revision>10</cp:revision>
  <dcterms:created xsi:type="dcterms:W3CDTF">2016-02-23T16:06:00Z</dcterms:created>
  <dcterms:modified xsi:type="dcterms:W3CDTF">2017-03-17T11:49:00Z</dcterms:modified>
</cp:coreProperties>
</file>