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3F" w:rsidRDefault="001D3E3F" w:rsidP="0064086B">
      <w:pPr>
        <w:spacing w:after="0" w:line="480" w:lineRule="auto"/>
        <w:jc w:val="both"/>
      </w:pPr>
      <w:bookmarkStart w:id="0" w:name="_GoBack"/>
      <w:bookmarkEnd w:id="0"/>
      <w:r>
        <w:t>This supplement contains detailed tabulations of average flows for the last week of April, the first week of May</w:t>
      </w:r>
      <w:r w:rsidR="0064086B">
        <w:t>,</w:t>
      </w:r>
      <w:r>
        <w:t xml:space="preserve"> and the second week of May for the following datasets: </w:t>
      </w:r>
    </w:p>
    <w:p w:rsidR="0064086B" w:rsidRDefault="0064086B" w:rsidP="0064086B">
      <w:pPr>
        <w:spacing w:after="0" w:line="480" w:lineRule="auto"/>
        <w:jc w:val="both"/>
      </w:pPr>
    </w:p>
    <w:p w:rsidR="001D3E3F" w:rsidRDefault="001D3E3F" w:rsidP="0064086B">
      <w:pPr>
        <w:spacing w:after="0" w:line="480" w:lineRule="auto"/>
        <w:jc w:val="both"/>
      </w:pPr>
      <w:r>
        <w:t>(</w:t>
      </w:r>
      <w:proofErr w:type="gramStart"/>
      <w:r>
        <w:t>a</w:t>
      </w:r>
      <w:proofErr w:type="gramEnd"/>
      <w:r>
        <w:t xml:space="preserve">) Observed (regulated) flows in the period 1972-2016  </w:t>
      </w:r>
    </w:p>
    <w:p w:rsidR="001D3E3F" w:rsidRDefault="001D3E3F" w:rsidP="0064086B">
      <w:pPr>
        <w:spacing w:after="0" w:line="480" w:lineRule="auto"/>
        <w:jc w:val="both"/>
      </w:pPr>
      <w:r>
        <w:t xml:space="preserve">(b) Naturalised flows in the period 1972-2016, computed using a lag of 7 days  </w:t>
      </w:r>
    </w:p>
    <w:p w:rsidR="001D3E3F" w:rsidRDefault="001D3E3F" w:rsidP="0064086B">
      <w:pPr>
        <w:spacing w:after="0" w:line="480" w:lineRule="auto"/>
        <w:jc w:val="both"/>
      </w:pPr>
      <w:r>
        <w:t xml:space="preserve">(c) Naturalised flows in the period 1972-2016, computed using a lag of 8 days </w:t>
      </w:r>
    </w:p>
    <w:p w:rsidR="001D3E3F" w:rsidRDefault="001D3E3F" w:rsidP="0064086B">
      <w:pPr>
        <w:spacing w:after="0" w:line="480" w:lineRule="auto"/>
        <w:jc w:val="both"/>
      </w:pPr>
      <w:r>
        <w:t xml:space="preserve">(d) Naturalised flows in the period 1972-1996, computed </w:t>
      </w:r>
      <w:r w:rsidR="003C0E84">
        <w:t xml:space="preserve">with </w:t>
      </w:r>
      <w:r>
        <w:t xml:space="preserve">the model </w:t>
      </w:r>
      <w:r w:rsidR="003C0E84">
        <w:t xml:space="preserve">described by </w:t>
      </w:r>
      <w:r>
        <w:t>Peters and Prowse (2001)</w:t>
      </w:r>
      <w:r w:rsidR="003C0E84">
        <w:t>.</w:t>
      </w:r>
      <w:r>
        <w:t xml:space="preserve"> </w:t>
      </w:r>
    </w:p>
    <w:p w:rsidR="001D3E3F" w:rsidRDefault="001D3E3F" w:rsidP="0064086B">
      <w:pPr>
        <w:spacing w:after="0" w:line="480" w:lineRule="auto"/>
        <w:jc w:val="both"/>
      </w:pPr>
    </w:p>
    <w:p w:rsidR="001D3E3F" w:rsidRDefault="001D3E3F" w:rsidP="0064086B">
      <w:pPr>
        <w:spacing w:after="0" w:line="480" w:lineRule="auto"/>
        <w:jc w:val="both"/>
      </w:pPr>
      <w:r>
        <w:t xml:space="preserve">The designation “large ice-jam flood” follows the terminology used in the compilation of historical floods by Timoney (2009) who distinguished among small, moderate, and large events. It is the large variety that supplies considerable replenishment to the perched basins of the Peace Sector of the PAD. The 2014 event, which occurred after publication of </w:t>
      </w:r>
      <w:proofErr w:type="spellStart"/>
      <w:r>
        <w:t>Timoney’s</w:t>
      </w:r>
      <w:proofErr w:type="spellEnd"/>
      <w:r>
        <w:t xml:space="preserve"> </w:t>
      </w:r>
      <w:r w:rsidR="0029278C">
        <w:t>(</w:t>
      </w:r>
      <w:r w:rsidR="00B2174A">
        <w:t>2009</w:t>
      </w:r>
      <w:r w:rsidR="0029278C">
        <w:t>)</w:t>
      </w:r>
      <w:r w:rsidR="00B2174A">
        <w:t xml:space="preserve"> </w:t>
      </w:r>
      <w:r>
        <w:t xml:space="preserve">paper, generated widespread flooding and </w:t>
      </w:r>
      <w:proofErr w:type="gramStart"/>
      <w:r>
        <w:t>is deemed</w:t>
      </w:r>
      <w:proofErr w:type="gramEnd"/>
      <w:r>
        <w:t xml:space="preserve"> to have been of the large variety.</w:t>
      </w:r>
      <w:r w:rsidR="0029278C">
        <w:t xml:space="preserve"> Please see published article for full citation of Timoney (2009).</w:t>
      </w:r>
    </w:p>
    <w:p w:rsidR="001D3E3F" w:rsidRDefault="001D3E3F" w:rsidP="0064086B">
      <w:pPr>
        <w:spacing w:after="0" w:line="480" w:lineRule="auto"/>
        <w:jc w:val="both"/>
      </w:pPr>
    </w:p>
    <w:p w:rsidR="009417EB" w:rsidRDefault="001D3E3F" w:rsidP="0064086B">
      <w:pPr>
        <w:spacing w:after="0" w:line="480" w:lineRule="auto"/>
        <w:jc w:val="both"/>
      </w:pPr>
      <w:r>
        <w:t xml:space="preserve">   </w:t>
      </w:r>
    </w:p>
    <w:p w:rsidR="009417EB" w:rsidRDefault="009417EB" w:rsidP="0064086B">
      <w:pPr>
        <w:spacing w:after="0" w:line="480" w:lineRule="auto"/>
        <w:jc w:val="both"/>
      </w:pPr>
    </w:p>
    <w:p w:rsidR="0064086B" w:rsidRDefault="0064086B" w:rsidP="0064086B">
      <w:pPr>
        <w:spacing w:after="0" w:line="480" w:lineRule="auto"/>
        <w:jc w:val="both"/>
      </w:pPr>
    </w:p>
    <w:p w:rsidR="0064086B" w:rsidRDefault="0064086B" w:rsidP="0064086B">
      <w:pPr>
        <w:spacing w:after="0" w:line="480" w:lineRule="auto"/>
        <w:jc w:val="both"/>
      </w:pPr>
    </w:p>
    <w:p w:rsidR="0064086B" w:rsidRDefault="0064086B" w:rsidP="0064086B">
      <w:pPr>
        <w:spacing w:after="0" w:line="480" w:lineRule="auto"/>
        <w:jc w:val="both"/>
      </w:pPr>
    </w:p>
    <w:p w:rsidR="0064086B" w:rsidRDefault="0064086B" w:rsidP="009417EB">
      <w:pPr>
        <w:spacing w:after="0" w:line="240" w:lineRule="auto"/>
        <w:jc w:val="both"/>
      </w:pPr>
    </w:p>
    <w:p w:rsidR="0064086B" w:rsidRDefault="0064086B" w:rsidP="009417EB">
      <w:pPr>
        <w:spacing w:after="0" w:line="240" w:lineRule="auto"/>
        <w:jc w:val="both"/>
      </w:pPr>
    </w:p>
    <w:p w:rsidR="0064086B" w:rsidRDefault="0064086B" w:rsidP="009417EB">
      <w:pPr>
        <w:spacing w:after="0" w:line="240" w:lineRule="auto"/>
        <w:jc w:val="both"/>
      </w:pPr>
    </w:p>
    <w:p w:rsidR="0064086B" w:rsidRDefault="0064086B" w:rsidP="009417EB">
      <w:pPr>
        <w:spacing w:after="0" w:line="240" w:lineRule="auto"/>
        <w:jc w:val="both"/>
      </w:pPr>
    </w:p>
    <w:p w:rsidR="0064086B" w:rsidRDefault="0064086B" w:rsidP="009417EB">
      <w:pPr>
        <w:spacing w:after="0" w:line="240" w:lineRule="auto"/>
        <w:jc w:val="both"/>
      </w:pPr>
    </w:p>
    <w:p w:rsidR="0064086B" w:rsidRDefault="0064086B" w:rsidP="009417EB">
      <w:pPr>
        <w:spacing w:after="0" w:line="240" w:lineRule="auto"/>
        <w:jc w:val="both"/>
      </w:pPr>
    </w:p>
    <w:p w:rsidR="009417EB" w:rsidRPr="003E7F60" w:rsidRDefault="009417EB" w:rsidP="009417EB">
      <w:pPr>
        <w:spacing w:after="0" w:line="240" w:lineRule="auto"/>
        <w:jc w:val="both"/>
      </w:pPr>
      <w:r w:rsidRPr="003E7F60">
        <w:t xml:space="preserve">Table </w:t>
      </w:r>
      <w:proofErr w:type="spellStart"/>
      <w:r w:rsidR="001D3E3F">
        <w:t>S</w:t>
      </w:r>
      <w:r>
        <w:t>1</w:t>
      </w:r>
      <w:proofErr w:type="spellEnd"/>
      <w:r w:rsidRPr="003E7F60">
        <w:t>. Annual values of average Peace Point flow (</w:t>
      </w:r>
      <w:proofErr w:type="spellStart"/>
      <w:r>
        <w:rPr>
          <w:color w:val="000000"/>
        </w:rPr>
        <w:t>m</w:t>
      </w:r>
      <w:r w:rsidRPr="001B2CA5">
        <w:rPr>
          <w:color w:val="000000"/>
          <w:vertAlign w:val="superscript"/>
        </w:rPr>
        <w:t>3</w:t>
      </w:r>
      <w:proofErr w:type="spellEnd"/>
      <w:r>
        <w:rPr>
          <w:color w:val="000000"/>
        </w:rPr>
        <w:t>/s</w:t>
      </w:r>
      <w:r w:rsidRPr="003E7F60">
        <w:t>) in the last week of April.</w:t>
      </w:r>
    </w:p>
    <w:p w:rsidR="009417EB" w:rsidRPr="003E7F60" w:rsidRDefault="009417EB" w:rsidP="009417EB">
      <w:pPr>
        <w:spacing w:after="0" w:line="240" w:lineRule="auto"/>
        <w:jc w:val="both"/>
      </w:pPr>
      <w:r w:rsidRPr="003E7F60">
        <w:t>S</w:t>
      </w:r>
      <w:r>
        <w:t xml:space="preserve">hading </w:t>
      </w:r>
      <w:r w:rsidRPr="003E7F60">
        <w:t>identif</w:t>
      </w:r>
      <w:r>
        <w:t>ies</w:t>
      </w:r>
      <w:r w:rsidRPr="003E7F60">
        <w:t xml:space="preserve"> years of large ice-jam floods.</w:t>
      </w:r>
      <w:r>
        <w:t xml:space="preserve"> The footnote of Table 2 also applies to Tables 3 and 4.</w:t>
      </w:r>
    </w:p>
    <w:tbl>
      <w:tblPr>
        <w:tblW w:w="60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00"/>
        <w:gridCol w:w="1200"/>
        <w:gridCol w:w="1200"/>
        <w:gridCol w:w="1200"/>
        <w:gridCol w:w="1200"/>
      </w:tblGrid>
      <w:tr w:rsidR="009417EB" w:rsidRPr="003E7F60" w:rsidTr="00921403">
        <w:trPr>
          <w:trHeight w:val="39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Year</w:t>
            </w:r>
          </w:p>
        </w:tc>
        <w:tc>
          <w:tcPr>
            <w:tcW w:w="1200" w:type="dxa"/>
            <w:shd w:val="clear" w:color="auto" w:fill="auto"/>
            <w:noWrap/>
            <w:vAlign w:val="center"/>
            <w:hideMark/>
          </w:tcPr>
          <w:p w:rsidR="009417EB" w:rsidRDefault="009417EB" w:rsidP="00921403">
            <w:pPr>
              <w:spacing w:after="0" w:line="240" w:lineRule="auto"/>
              <w:jc w:val="both"/>
              <w:rPr>
                <w:color w:val="000000"/>
                <w:sz w:val="20"/>
                <w:szCs w:val="20"/>
                <w:lang w:eastAsia="en-CA"/>
              </w:rPr>
            </w:pPr>
            <w:r w:rsidRPr="003E7F60">
              <w:rPr>
                <w:color w:val="000000"/>
                <w:sz w:val="20"/>
                <w:szCs w:val="20"/>
                <w:lang w:eastAsia="en-CA"/>
              </w:rPr>
              <w:t>Observed</w:t>
            </w:r>
          </w:p>
          <w:p w:rsidR="009417EB" w:rsidRPr="003E7F60" w:rsidRDefault="009417EB" w:rsidP="00921403">
            <w:pPr>
              <w:spacing w:after="0" w:line="240" w:lineRule="auto"/>
              <w:jc w:val="both"/>
              <w:rPr>
                <w:color w:val="000000"/>
                <w:sz w:val="20"/>
                <w:szCs w:val="20"/>
                <w:lang w:eastAsia="en-CA"/>
              </w:rPr>
            </w:pPr>
            <w:r>
              <w:rPr>
                <w:color w:val="000000"/>
                <w:sz w:val="20"/>
                <w:szCs w:val="20"/>
                <w:lang w:eastAsia="en-CA"/>
              </w:rPr>
              <w:t>(regulated)</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Naturalized,</w:t>
            </w:r>
          </w:p>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7-day lag</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Naturalized,</w:t>
            </w:r>
          </w:p>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8-day lag</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Naturalized,</w:t>
            </w:r>
          </w:p>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Modelled</w:t>
            </w:r>
            <w:r w:rsidRPr="003E7F60">
              <w:rPr>
                <w:color w:val="000000"/>
                <w:sz w:val="20"/>
                <w:szCs w:val="20"/>
                <w:vertAlign w:val="superscript"/>
                <w:lang w:eastAsia="en-CA"/>
              </w:rPr>
              <w:t>(1)</w:t>
            </w:r>
          </w:p>
        </w:tc>
      </w:tr>
      <w:tr w:rsidR="009417EB" w:rsidRPr="003E7F60" w:rsidTr="00921403">
        <w:trPr>
          <w:trHeight w:hRule="exact" w:val="227"/>
          <w:jc w:val="center"/>
        </w:trPr>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1972</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2010</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1454</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1463</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1336</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4399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3610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3584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3409</w:t>
            </w:r>
          </w:p>
        </w:tc>
      </w:tr>
      <w:tr w:rsidR="009417EB" w:rsidRPr="003E7F60" w:rsidTr="00921403">
        <w:trPr>
          <w:trHeight w:hRule="exact" w:val="227"/>
          <w:jc w:val="center"/>
        </w:trPr>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1974</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4580</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4174</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4251</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5010</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2411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1232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1218</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1015</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3171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2604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2634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2493</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3000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2334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2310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2344</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1978</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2239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1483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1427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1250</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1463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861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874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776</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1815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1820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1699</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2849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1913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1888</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1512</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1616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821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820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736</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2161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2237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2132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1997</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2126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1812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1746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1546</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3180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2212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2270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2225</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2750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1875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1855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1698</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3087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1841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1844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1901</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1988</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2879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2426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2325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2073</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1591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1298</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1205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879</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3727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3811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3727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3500</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3467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3625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3477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3383</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4240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4234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4143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3963</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2551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1962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1894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1676</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3884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4321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4223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4371</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1796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1813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1775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1672</w:t>
            </w:r>
          </w:p>
        </w:tc>
      </w:tr>
      <w:tr w:rsidR="009417EB" w:rsidRPr="003E7F60" w:rsidTr="00921403">
        <w:trPr>
          <w:trHeight w:hRule="exact" w:val="227"/>
          <w:jc w:val="center"/>
        </w:trPr>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1996</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5139</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5384</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5308</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5386</w:t>
            </w:r>
          </w:p>
        </w:tc>
      </w:tr>
      <w:tr w:rsidR="009417EB" w:rsidRPr="003E7F60" w:rsidTr="00921403">
        <w:trPr>
          <w:trHeight w:hRule="exact" w:val="227"/>
          <w:jc w:val="center"/>
        </w:trPr>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1997</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6344</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5905</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5829</w:t>
            </w:r>
          </w:p>
        </w:tc>
        <w:tc>
          <w:tcPr>
            <w:tcW w:w="1200" w:type="dxa"/>
            <w:shd w:val="clear" w:color="auto" w:fill="auto"/>
            <w:noWrap/>
            <w:vAlign w:val="bottom"/>
            <w:hideMark/>
          </w:tcPr>
          <w:p w:rsidR="009417EB" w:rsidRPr="0072294C" w:rsidRDefault="009417EB" w:rsidP="00921403">
            <w:pPr>
              <w:spacing w:after="0" w:line="240" w:lineRule="auto"/>
              <w:jc w:val="both"/>
              <w:rPr>
                <w:color w:val="000000"/>
                <w:sz w:val="20"/>
                <w:szCs w:val="20"/>
                <w:highlight w:val="lightGray"/>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1998</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3343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2503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2457</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3329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2928</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2765</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1817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1233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1189</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1734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980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988</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1656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1196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1167</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2943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2399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2390</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2140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1966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1951</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3277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3046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2896</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1943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1444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1414</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4844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4869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4974</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2008</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2090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975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979</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3026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2326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2265</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1696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1762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1586</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2814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2033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2001</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2197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1784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1719</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1849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1223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1209</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2014</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2206</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1777</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1726</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3023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2780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2655</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1749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3026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2811</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bl>
    <w:p w:rsidR="009417EB" w:rsidRPr="00EA0720" w:rsidRDefault="009417EB" w:rsidP="009417EB">
      <w:pPr>
        <w:spacing w:after="0" w:line="240" w:lineRule="auto"/>
        <w:jc w:val="center"/>
        <w:rPr>
          <w:sz w:val="20"/>
          <w:szCs w:val="20"/>
        </w:rPr>
      </w:pPr>
      <w:r w:rsidRPr="00EA0720">
        <w:rPr>
          <w:sz w:val="20"/>
          <w:szCs w:val="20"/>
          <w:vertAlign w:val="superscript"/>
          <w:lang w:eastAsia="en-CA"/>
        </w:rPr>
        <w:t>(1)</w:t>
      </w:r>
      <w:r w:rsidRPr="00EA0720">
        <w:rPr>
          <w:sz w:val="20"/>
          <w:szCs w:val="20"/>
          <w:lang w:eastAsia="en-CA"/>
        </w:rPr>
        <w:t xml:space="preserve"> Based on unpublished data by D. Peters</w:t>
      </w:r>
    </w:p>
    <w:p w:rsidR="009417EB" w:rsidRPr="003E7F60" w:rsidRDefault="009417EB" w:rsidP="009417EB">
      <w:pPr>
        <w:spacing w:after="0" w:line="240" w:lineRule="auto"/>
        <w:jc w:val="both"/>
      </w:pPr>
    </w:p>
    <w:p w:rsidR="009417EB" w:rsidRDefault="009417EB" w:rsidP="009417EB">
      <w:pPr>
        <w:spacing w:after="0" w:line="240" w:lineRule="auto"/>
        <w:jc w:val="both"/>
      </w:pPr>
    </w:p>
    <w:p w:rsidR="009417EB" w:rsidRDefault="009417EB" w:rsidP="009417EB">
      <w:pPr>
        <w:spacing w:after="0" w:line="240" w:lineRule="auto"/>
        <w:jc w:val="both"/>
      </w:pPr>
    </w:p>
    <w:p w:rsidR="009417EB" w:rsidRDefault="009417EB" w:rsidP="009417EB">
      <w:pPr>
        <w:spacing w:after="0" w:line="240" w:lineRule="auto"/>
        <w:jc w:val="both"/>
      </w:pPr>
    </w:p>
    <w:p w:rsidR="009417EB" w:rsidRPr="003E7F60" w:rsidRDefault="009417EB" w:rsidP="009417EB">
      <w:pPr>
        <w:spacing w:after="0" w:line="240" w:lineRule="auto"/>
        <w:jc w:val="both"/>
      </w:pPr>
      <w:r w:rsidRPr="003E7F60">
        <w:t xml:space="preserve">Table </w:t>
      </w:r>
      <w:proofErr w:type="spellStart"/>
      <w:r w:rsidR="001D3E3F">
        <w:t>S</w:t>
      </w:r>
      <w:r>
        <w:t>2</w:t>
      </w:r>
      <w:proofErr w:type="spellEnd"/>
      <w:r w:rsidRPr="003E7F60">
        <w:t>. Annual values of average Peace Point flow (</w:t>
      </w:r>
      <w:proofErr w:type="spellStart"/>
      <w:r>
        <w:rPr>
          <w:color w:val="000000"/>
        </w:rPr>
        <w:t>m</w:t>
      </w:r>
      <w:r w:rsidRPr="001B2CA5">
        <w:rPr>
          <w:color w:val="000000"/>
          <w:vertAlign w:val="superscript"/>
        </w:rPr>
        <w:t>3</w:t>
      </w:r>
      <w:proofErr w:type="spellEnd"/>
      <w:r>
        <w:rPr>
          <w:color w:val="000000"/>
        </w:rPr>
        <w:t>/s</w:t>
      </w:r>
      <w:r w:rsidRPr="003E7F60">
        <w:t>) in the first week of May.</w:t>
      </w:r>
    </w:p>
    <w:p w:rsidR="009417EB" w:rsidRDefault="009417EB" w:rsidP="009417EB">
      <w:pPr>
        <w:spacing w:after="0" w:line="240" w:lineRule="auto"/>
        <w:jc w:val="both"/>
      </w:pPr>
      <w:r w:rsidRPr="003E7F60">
        <w:t>S</w:t>
      </w:r>
      <w:r>
        <w:t xml:space="preserve">hading </w:t>
      </w:r>
      <w:r w:rsidRPr="003E7F60">
        <w:t>identif</w:t>
      </w:r>
      <w:r>
        <w:t>ies</w:t>
      </w:r>
      <w:r w:rsidRPr="003E7F60">
        <w:t xml:space="preserve"> years of large ice-jam floods</w:t>
      </w:r>
    </w:p>
    <w:p w:rsidR="009417EB" w:rsidRPr="003E7F60" w:rsidRDefault="009417EB" w:rsidP="009417EB">
      <w:pPr>
        <w:spacing w:after="0" w:line="240" w:lineRule="auto"/>
        <w:jc w:val="both"/>
      </w:pPr>
    </w:p>
    <w:tbl>
      <w:tblPr>
        <w:tblW w:w="60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00"/>
        <w:gridCol w:w="1200"/>
        <w:gridCol w:w="1200"/>
        <w:gridCol w:w="1200"/>
        <w:gridCol w:w="1200"/>
      </w:tblGrid>
      <w:tr w:rsidR="009417EB" w:rsidRPr="003E7F60" w:rsidTr="00921403">
        <w:trPr>
          <w:trHeight w:val="553"/>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Year</w:t>
            </w:r>
          </w:p>
        </w:tc>
        <w:tc>
          <w:tcPr>
            <w:tcW w:w="1200" w:type="dxa"/>
            <w:shd w:val="clear" w:color="auto" w:fill="auto"/>
            <w:noWrap/>
            <w:vAlign w:val="center"/>
            <w:hideMark/>
          </w:tcPr>
          <w:p w:rsidR="009417EB" w:rsidRDefault="009417EB" w:rsidP="00921403">
            <w:pPr>
              <w:spacing w:after="0" w:line="240" w:lineRule="auto"/>
              <w:jc w:val="both"/>
              <w:rPr>
                <w:color w:val="000000"/>
                <w:sz w:val="20"/>
                <w:szCs w:val="20"/>
                <w:lang w:eastAsia="en-CA"/>
              </w:rPr>
            </w:pPr>
            <w:r w:rsidRPr="003E7F60">
              <w:rPr>
                <w:color w:val="000000"/>
                <w:sz w:val="20"/>
                <w:szCs w:val="20"/>
                <w:lang w:eastAsia="en-CA"/>
              </w:rPr>
              <w:t>Observed</w:t>
            </w:r>
          </w:p>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(regulated)</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Naturalized,</w:t>
            </w:r>
          </w:p>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7-day lag</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Naturalized,</w:t>
            </w:r>
          </w:p>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8-day lag</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Naturalized,</w:t>
            </w:r>
          </w:p>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Modelled</w:t>
            </w:r>
            <w:r w:rsidRPr="003E7F60">
              <w:rPr>
                <w:color w:val="000000"/>
                <w:sz w:val="20"/>
                <w:szCs w:val="20"/>
                <w:vertAlign w:val="superscript"/>
                <w:lang w:eastAsia="en-CA"/>
              </w:rPr>
              <w:t>(1)</w:t>
            </w:r>
          </w:p>
        </w:tc>
      </w:tr>
      <w:tr w:rsidR="009417EB" w:rsidRPr="003E7F60" w:rsidTr="00921403">
        <w:trPr>
          <w:trHeight w:hRule="exact" w:val="227"/>
          <w:jc w:val="center"/>
        </w:trPr>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1972</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4529</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4116</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4048</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3877</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4570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3773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3736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3656</w:t>
            </w:r>
          </w:p>
        </w:tc>
      </w:tr>
      <w:tr w:rsidR="009417EB" w:rsidRPr="003E7F60" w:rsidTr="00921403">
        <w:trPr>
          <w:trHeight w:hRule="exact" w:val="227"/>
          <w:jc w:val="center"/>
        </w:trPr>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1974</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8001</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7575</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7462</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7633</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2979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1927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1897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1673</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2980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2672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2510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2534</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2749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3372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3179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3078</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1978</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3057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3284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3074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2865</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2994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3014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2855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2125</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1487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2135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1947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1696</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4031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3981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3776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3812</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2671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1885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1859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1556</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2426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3124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3048</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2982</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1733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1258</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1340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1439</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3420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2260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2222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2173</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3053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2361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2362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2301</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2967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2124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1962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1884</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1988</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3234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3193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3046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3167</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2920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3819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3651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3598</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3380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3499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3503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3469</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3871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4424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4461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4382</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3979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4689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4522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4710</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2143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1936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1872</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3429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4349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4317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4206</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2437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3180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3088</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2871</w:t>
            </w:r>
          </w:p>
        </w:tc>
      </w:tr>
      <w:tr w:rsidR="009417EB" w:rsidRPr="003E7F60" w:rsidTr="00921403">
        <w:trPr>
          <w:trHeight w:hRule="exact" w:val="227"/>
          <w:jc w:val="center"/>
        </w:trPr>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1996</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5466</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5665</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5733</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5623</w:t>
            </w:r>
          </w:p>
        </w:tc>
      </w:tr>
      <w:tr w:rsidR="009417EB" w:rsidRPr="003E7F60" w:rsidTr="00921403">
        <w:trPr>
          <w:trHeight w:hRule="exact" w:val="227"/>
          <w:jc w:val="center"/>
        </w:trPr>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1997</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7266</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7424</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7337</w:t>
            </w:r>
          </w:p>
        </w:tc>
        <w:tc>
          <w:tcPr>
            <w:tcW w:w="1200" w:type="dxa"/>
            <w:shd w:val="clear" w:color="auto" w:fill="auto"/>
            <w:noWrap/>
            <w:vAlign w:val="bottom"/>
            <w:hideMark/>
          </w:tcPr>
          <w:p w:rsidR="009417EB" w:rsidRPr="0072294C" w:rsidRDefault="009417EB" w:rsidP="00921403">
            <w:pPr>
              <w:spacing w:after="0" w:line="240" w:lineRule="auto"/>
              <w:jc w:val="both"/>
              <w:rPr>
                <w:color w:val="000000"/>
                <w:sz w:val="20"/>
                <w:szCs w:val="20"/>
                <w:highlight w:val="lightGray"/>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1998</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2566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2711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2586</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3130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3730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3721</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2300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1933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1897</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2573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2232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2151</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2076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1812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1745</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4744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4926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4750</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2989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3003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2934</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2673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4130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4006</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1600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1752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1634</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5483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5379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5303</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2008</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2730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1812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1753</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3097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2786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2736</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1490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1995</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2011</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4455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3806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3809</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2012</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2650</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2744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2662</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3693</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3497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3438</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2014</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5464</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5463</w:t>
            </w:r>
          </w:p>
        </w:tc>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5371</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2015</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3267</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3499</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3448</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1786</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3334</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3416</w:t>
            </w:r>
          </w:p>
        </w:tc>
        <w:tc>
          <w:tcPr>
            <w:tcW w:w="1200" w:type="dxa"/>
            <w:shd w:val="clear" w:color="auto" w:fill="auto"/>
            <w:noWrap/>
            <w:vAlign w:val="bottom"/>
            <w:hideMark/>
          </w:tcPr>
          <w:p w:rsidR="009417EB" w:rsidRPr="003E7F60" w:rsidRDefault="009417EB" w:rsidP="00921403">
            <w:pPr>
              <w:spacing w:after="0" w:line="240" w:lineRule="auto"/>
              <w:jc w:val="both"/>
              <w:rPr>
                <w:color w:val="000000"/>
                <w:sz w:val="20"/>
                <w:szCs w:val="20"/>
                <w:lang w:eastAsia="en-CA"/>
              </w:rPr>
            </w:pPr>
          </w:p>
        </w:tc>
      </w:tr>
    </w:tbl>
    <w:p w:rsidR="009417EB" w:rsidRPr="003E7F60" w:rsidRDefault="009417EB" w:rsidP="009417EB">
      <w:pPr>
        <w:spacing w:after="0" w:line="240" w:lineRule="auto"/>
        <w:jc w:val="both"/>
      </w:pPr>
    </w:p>
    <w:p w:rsidR="009417EB" w:rsidRDefault="009417EB" w:rsidP="009417EB">
      <w:pPr>
        <w:spacing w:after="0" w:line="240" w:lineRule="auto"/>
        <w:jc w:val="both"/>
      </w:pPr>
    </w:p>
    <w:p w:rsidR="009417EB" w:rsidRDefault="009417EB" w:rsidP="009417EB">
      <w:pPr>
        <w:spacing w:after="0" w:line="240" w:lineRule="auto"/>
        <w:jc w:val="both"/>
      </w:pPr>
    </w:p>
    <w:p w:rsidR="009417EB" w:rsidRDefault="009417EB" w:rsidP="009417EB">
      <w:pPr>
        <w:spacing w:after="0" w:line="240" w:lineRule="auto"/>
        <w:jc w:val="both"/>
      </w:pPr>
    </w:p>
    <w:p w:rsidR="009417EB" w:rsidRPr="003E7F60" w:rsidRDefault="009417EB" w:rsidP="009417EB">
      <w:pPr>
        <w:spacing w:after="0" w:line="240" w:lineRule="auto"/>
        <w:jc w:val="both"/>
      </w:pPr>
      <w:r>
        <w:t xml:space="preserve">Table </w:t>
      </w:r>
      <w:proofErr w:type="spellStart"/>
      <w:r w:rsidR="001D3E3F">
        <w:t>S</w:t>
      </w:r>
      <w:r>
        <w:t>3</w:t>
      </w:r>
      <w:proofErr w:type="spellEnd"/>
      <w:r w:rsidRPr="003E7F60">
        <w:t>. Annual values of average Peace Point flow (</w:t>
      </w:r>
      <w:proofErr w:type="spellStart"/>
      <w:r>
        <w:rPr>
          <w:color w:val="000000"/>
        </w:rPr>
        <w:t>m</w:t>
      </w:r>
      <w:r w:rsidRPr="001B2CA5">
        <w:rPr>
          <w:color w:val="000000"/>
          <w:vertAlign w:val="superscript"/>
        </w:rPr>
        <w:t>3</w:t>
      </w:r>
      <w:proofErr w:type="spellEnd"/>
      <w:r>
        <w:rPr>
          <w:color w:val="000000"/>
        </w:rPr>
        <w:t>/s</w:t>
      </w:r>
      <w:r w:rsidRPr="003E7F60">
        <w:t xml:space="preserve">) in the </w:t>
      </w:r>
      <w:r>
        <w:t>second</w:t>
      </w:r>
      <w:r w:rsidRPr="003E7F60">
        <w:t xml:space="preserve"> week of May.</w:t>
      </w:r>
    </w:p>
    <w:p w:rsidR="009417EB" w:rsidRDefault="009417EB" w:rsidP="009417EB">
      <w:pPr>
        <w:spacing w:after="0" w:line="240" w:lineRule="auto"/>
        <w:jc w:val="both"/>
      </w:pPr>
      <w:r w:rsidRPr="003E7F60">
        <w:t>S</w:t>
      </w:r>
      <w:r>
        <w:t xml:space="preserve">hading </w:t>
      </w:r>
      <w:r w:rsidRPr="003E7F60">
        <w:t>identif</w:t>
      </w:r>
      <w:r>
        <w:t>ies</w:t>
      </w:r>
      <w:r w:rsidRPr="003E7F60">
        <w:t xml:space="preserve"> years of large ice-jam floods</w:t>
      </w:r>
      <w:r>
        <w:t xml:space="preserve">  </w:t>
      </w:r>
    </w:p>
    <w:p w:rsidR="009417EB" w:rsidRPr="003E7F60" w:rsidRDefault="009417EB" w:rsidP="009417EB">
      <w:pPr>
        <w:spacing w:after="0" w:line="240" w:lineRule="auto"/>
        <w:jc w:val="both"/>
      </w:pPr>
    </w:p>
    <w:tbl>
      <w:tblPr>
        <w:tblW w:w="60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00"/>
        <w:gridCol w:w="1200"/>
        <w:gridCol w:w="1200"/>
        <w:gridCol w:w="1200"/>
        <w:gridCol w:w="1200"/>
      </w:tblGrid>
      <w:tr w:rsidR="009417EB" w:rsidRPr="003E7F60" w:rsidTr="00921403">
        <w:trPr>
          <w:trHeight w:val="553"/>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Year</w:t>
            </w:r>
          </w:p>
        </w:tc>
        <w:tc>
          <w:tcPr>
            <w:tcW w:w="1200" w:type="dxa"/>
            <w:shd w:val="clear" w:color="auto" w:fill="auto"/>
            <w:noWrap/>
            <w:vAlign w:val="center"/>
            <w:hideMark/>
          </w:tcPr>
          <w:p w:rsidR="009417EB" w:rsidRDefault="009417EB" w:rsidP="00921403">
            <w:pPr>
              <w:spacing w:after="0" w:line="240" w:lineRule="auto"/>
              <w:jc w:val="both"/>
              <w:rPr>
                <w:color w:val="000000"/>
                <w:sz w:val="20"/>
                <w:szCs w:val="20"/>
                <w:lang w:eastAsia="en-CA"/>
              </w:rPr>
            </w:pPr>
            <w:r w:rsidRPr="003E7F60">
              <w:rPr>
                <w:color w:val="000000"/>
                <w:sz w:val="20"/>
                <w:szCs w:val="20"/>
                <w:lang w:eastAsia="en-CA"/>
              </w:rPr>
              <w:t>Observed</w:t>
            </w:r>
          </w:p>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(regulated)</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Naturalized,</w:t>
            </w:r>
          </w:p>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7-day lag</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Naturalized,</w:t>
            </w:r>
          </w:p>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8-day lag</w:t>
            </w:r>
          </w:p>
        </w:tc>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Naturalized,</w:t>
            </w:r>
          </w:p>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Modelled</w:t>
            </w:r>
            <w:r w:rsidRPr="003E7F60">
              <w:rPr>
                <w:color w:val="000000"/>
                <w:sz w:val="20"/>
                <w:szCs w:val="20"/>
                <w:vertAlign w:val="superscript"/>
                <w:lang w:eastAsia="en-CA"/>
              </w:rPr>
              <w:t>(1)</w:t>
            </w:r>
          </w:p>
        </w:tc>
      </w:tr>
      <w:tr w:rsidR="009417EB" w:rsidRPr="003E7F60" w:rsidTr="00921403">
        <w:trPr>
          <w:trHeight w:hRule="exact" w:val="227"/>
          <w:jc w:val="center"/>
        </w:trPr>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1972</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4356</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4535</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4442</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4611</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4847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4932</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4757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4901</w:t>
            </w:r>
          </w:p>
        </w:tc>
      </w:tr>
      <w:tr w:rsidR="009417EB" w:rsidRPr="003E7F60" w:rsidTr="00921403">
        <w:trPr>
          <w:trHeight w:hRule="exact" w:val="227"/>
          <w:jc w:val="center"/>
        </w:trPr>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1974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7533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7867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7785</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7671</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1975</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2949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2260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2193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2068</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1976</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3754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5234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5030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5410</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3576</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4845</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4708</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5194</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1978</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2756</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3023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3109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3013</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1979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5081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5368</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5441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5241</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1414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2503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2569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2530</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3690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4491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4457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4570</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1982</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3859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3881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3745</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3600</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2124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3001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2986</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3020</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1893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1351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1315</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1271</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1985</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4361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3729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3650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3396</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1986</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3016</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2401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2314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2242</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3681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4474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4343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4510</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1988</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3067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3561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3499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3414</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1989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3689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6027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5752</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6490</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3201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4319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4115</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4270</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2539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3847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3689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3903</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1992</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3983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5049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5029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5026</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2334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2923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2769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2755</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3150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4754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4639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4768</w:t>
            </w: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1995</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2370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3332</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3310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3242</w:t>
            </w:r>
          </w:p>
        </w:tc>
      </w:tr>
      <w:tr w:rsidR="009417EB" w:rsidRPr="003E7F60" w:rsidTr="00921403">
        <w:trPr>
          <w:trHeight w:hRule="exact" w:val="227"/>
          <w:jc w:val="center"/>
        </w:trPr>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1996</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4294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4540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4457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4425</w:t>
            </w:r>
          </w:p>
        </w:tc>
      </w:tr>
      <w:tr w:rsidR="009417EB" w:rsidRPr="003E7F60" w:rsidTr="00921403">
        <w:trPr>
          <w:trHeight w:hRule="exact" w:val="227"/>
          <w:jc w:val="center"/>
        </w:trPr>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1997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6850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7478</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7376</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1998</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2507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4295</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4058</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1999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2710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3024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2999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2023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2082</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2059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2040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2032</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2019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2002</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3727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4101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4072</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2853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3580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3659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2413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3464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3387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2005</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1970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3099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3062</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2006</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1393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1856</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1855</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6644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7085</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6993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2008</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3390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3226</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3044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2009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3307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3761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1699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1437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2206</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2206</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3961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3588</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3547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2012</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2881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3369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3321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4914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5211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5009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72294C" w:rsidRDefault="009417EB" w:rsidP="00921403">
            <w:pPr>
              <w:spacing w:after="0" w:line="240" w:lineRule="auto"/>
              <w:jc w:val="both"/>
              <w:rPr>
                <w:color w:val="000000"/>
                <w:sz w:val="20"/>
                <w:szCs w:val="20"/>
                <w:highlight w:val="lightGray"/>
                <w:lang w:eastAsia="en-CA"/>
              </w:rPr>
            </w:pPr>
            <w:r w:rsidRPr="0072294C">
              <w:rPr>
                <w:color w:val="000000"/>
                <w:sz w:val="20"/>
                <w:szCs w:val="20"/>
                <w:highlight w:val="lightGray"/>
                <w:lang w:eastAsia="en-CA"/>
              </w:rPr>
              <w:t>2014</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3680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4430</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highlight w:val="lightGray"/>
              </w:rPr>
            </w:pPr>
            <w:r w:rsidRPr="00FD1B32">
              <w:rPr>
                <w:rFonts w:cs="Times New Roman"/>
                <w:color w:val="000000"/>
                <w:sz w:val="20"/>
                <w:szCs w:val="20"/>
                <w:highlight w:val="lightGray"/>
              </w:rPr>
              <w:t>4373</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2015</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3036</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3149</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3197</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p>
        </w:tc>
      </w:tr>
      <w:tr w:rsidR="009417EB" w:rsidRPr="003E7F60" w:rsidTr="00921403">
        <w:trPr>
          <w:trHeight w:hRule="exact" w:val="227"/>
          <w:jc w:val="center"/>
        </w:trPr>
        <w:tc>
          <w:tcPr>
            <w:tcW w:w="1200" w:type="dxa"/>
            <w:shd w:val="clear" w:color="auto" w:fill="auto"/>
            <w:noWrap/>
            <w:vAlign w:val="center"/>
            <w:hideMark/>
          </w:tcPr>
          <w:p w:rsidR="009417EB" w:rsidRPr="003E7F60" w:rsidRDefault="009417EB" w:rsidP="00921403">
            <w:pPr>
              <w:spacing w:after="0" w:line="240" w:lineRule="auto"/>
              <w:jc w:val="both"/>
              <w:rPr>
                <w:color w:val="000000"/>
                <w:sz w:val="20"/>
                <w:szCs w:val="20"/>
                <w:lang w:eastAsia="en-CA"/>
              </w:rPr>
            </w:pPr>
            <w:r w:rsidRPr="003E7F60">
              <w:rPr>
                <w:color w:val="000000"/>
                <w:sz w:val="20"/>
                <w:szCs w:val="20"/>
                <w:lang w:eastAsia="en-CA"/>
              </w:rPr>
              <w:t>2016</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1971</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4195</w:t>
            </w:r>
          </w:p>
        </w:tc>
        <w:tc>
          <w:tcPr>
            <w:tcW w:w="1200" w:type="dxa"/>
            <w:shd w:val="clear" w:color="auto" w:fill="auto"/>
            <w:noWrap/>
            <w:vAlign w:val="bottom"/>
            <w:hideMark/>
          </w:tcPr>
          <w:p w:rsidR="009417EB" w:rsidRPr="00FD1B32" w:rsidRDefault="009417EB" w:rsidP="00921403">
            <w:pPr>
              <w:spacing w:after="0"/>
              <w:jc w:val="right"/>
              <w:rPr>
                <w:rFonts w:cs="Times New Roman"/>
                <w:color w:val="000000"/>
                <w:sz w:val="20"/>
                <w:szCs w:val="20"/>
              </w:rPr>
            </w:pPr>
            <w:r w:rsidRPr="00FD1B32">
              <w:rPr>
                <w:rFonts w:cs="Times New Roman"/>
                <w:color w:val="000000"/>
                <w:sz w:val="20"/>
                <w:szCs w:val="20"/>
              </w:rPr>
              <w:t>4113</w:t>
            </w:r>
          </w:p>
        </w:tc>
        <w:tc>
          <w:tcPr>
            <w:tcW w:w="1200" w:type="dxa"/>
            <w:shd w:val="clear" w:color="auto" w:fill="auto"/>
            <w:noWrap/>
            <w:vAlign w:val="bottom"/>
            <w:hideMark/>
          </w:tcPr>
          <w:p w:rsidR="009417EB" w:rsidRDefault="009417EB" w:rsidP="00921403">
            <w:pPr>
              <w:spacing w:after="0"/>
              <w:jc w:val="right"/>
              <w:rPr>
                <w:rFonts w:ascii="Arial" w:hAnsi="Arial" w:cs="Arial"/>
                <w:color w:val="000000"/>
              </w:rPr>
            </w:pPr>
          </w:p>
        </w:tc>
      </w:tr>
    </w:tbl>
    <w:p w:rsidR="00B02B1A" w:rsidRDefault="00B02B1A" w:rsidP="003C0E84"/>
    <w:sectPr w:rsidR="00B02B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EB"/>
    <w:rsid w:val="001D3E3F"/>
    <w:rsid w:val="0029278C"/>
    <w:rsid w:val="003C0E84"/>
    <w:rsid w:val="00522A3C"/>
    <w:rsid w:val="0064086B"/>
    <w:rsid w:val="009417EB"/>
    <w:rsid w:val="00B02B1A"/>
    <w:rsid w:val="00B2174A"/>
    <w:rsid w:val="00C8301D"/>
    <w:rsid w:val="00E71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B33FF-0363-4C9D-9BC2-7F3F4246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762</Words>
  <Characters>4346</Characters>
  <Application>Microsoft Office Word</Application>
  <DocSecurity>0</DocSecurity>
  <Lines>36</Lines>
  <Paragraphs>10</Paragraphs>
  <ScaleCrop>false</ScaleCrop>
  <Company>Environment Climate Change Canada</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Beltaos,Spyros [Burlington]</dc:creator>
  <cp:keywords/>
  <dc:description/>
  <cp:lastModifiedBy>Beltaos,Spyros [Burlington]</cp:lastModifiedBy>
  <cp:revision>2</cp:revision>
  <dcterms:created xsi:type="dcterms:W3CDTF">2019-12-12T19:21:00Z</dcterms:created>
  <dcterms:modified xsi:type="dcterms:W3CDTF">2019-12-12T19:21:00Z</dcterms:modified>
</cp:coreProperties>
</file>