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04F" w:rsidRPr="00EB404F" w:rsidRDefault="00D9079B" w:rsidP="00EB404F">
      <w:pPr>
        <w:spacing w:after="0" w:line="259" w:lineRule="auto"/>
        <w:jc w:val="left"/>
        <w:rPr>
          <w:rStyle w:val="Titelvanboek"/>
          <w:rFonts w:asciiTheme="minorHAnsi" w:eastAsiaTheme="minorEastAsia" w:hAnsiTheme="minorHAnsi" w:cstheme="minorHAnsi"/>
          <w:b w:val="0"/>
          <w:color w:val="5A5A5A" w:themeColor="text1" w:themeTint="A5"/>
          <w:sz w:val="28"/>
          <w:szCs w:val="28"/>
        </w:rPr>
      </w:pPr>
      <w:r w:rsidRPr="00EB404F">
        <w:rPr>
          <w:rStyle w:val="Titelvanboek"/>
          <w:rFonts w:asciiTheme="minorHAnsi" w:eastAsiaTheme="minorEastAsia" w:hAnsiTheme="minorHAnsi" w:cstheme="minorHAnsi"/>
          <w:b w:val="0"/>
          <w:color w:val="5A5A5A" w:themeColor="text1" w:themeTint="A5"/>
          <w:sz w:val="28"/>
          <w:szCs w:val="28"/>
        </w:rPr>
        <w:t>Appendix</w:t>
      </w:r>
      <w:r w:rsidR="00592A2C" w:rsidRPr="00EB404F">
        <w:rPr>
          <w:rStyle w:val="Titelvanboek"/>
          <w:rFonts w:asciiTheme="minorHAnsi" w:eastAsiaTheme="minorEastAsia" w:hAnsiTheme="minorHAnsi" w:cstheme="minorHAnsi"/>
          <w:b w:val="0"/>
          <w:color w:val="5A5A5A" w:themeColor="text1" w:themeTint="A5"/>
          <w:sz w:val="28"/>
          <w:szCs w:val="28"/>
        </w:rPr>
        <w:t xml:space="preserve"> C</w:t>
      </w:r>
      <w:r w:rsidRPr="00EB404F">
        <w:rPr>
          <w:rStyle w:val="Titelvanboek"/>
          <w:rFonts w:asciiTheme="minorHAnsi" w:eastAsiaTheme="minorEastAsia" w:hAnsiTheme="minorHAnsi" w:cstheme="minorHAnsi"/>
          <w:b w:val="0"/>
          <w:color w:val="5A5A5A" w:themeColor="text1" w:themeTint="A5"/>
          <w:sz w:val="28"/>
          <w:szCs w:val="28"/>
        </w:rPr>
        <w:t>: Results of pal</w:t>
      </w:r>
      <w:r w:rsidR="0019630B" w:rsidRPr="00EB404F">
        <w:rPr>
          <w:rStyle w:val="Titelvanboek"/>
          <w:rFonts w:asciiTheme="minorHAnsi" w:eastAsiaTheme="minorEastAsia" w:hAnsiTheme="minorHAnsi" w:cstheme="minorHAnsi"/>
          <w:b w:val="0"/>
          <w:color w:val="5A5A5A" w:themeColor="text1" w:themeTint="A5"/>
          <w:sz w:val="28"/>
          <w:szCs w:val="28"/>
        </w:rPr>
        <w:t>a</w:t>
      </w:r>
      <w:r w:rsidRPr="00EB404F">
        <w:rPr>
          <w:rStyle w:val="Titelvanboek"/>
          <w:rFonts w:asciiTheme="minorHAnsi" w:eastAsiaTheme="minorEastAsia" w:hAnsiTheme="minorHAnsi" w:cstheme="minorHAnsi"/>
          <w:b w:val="0"/>
          <w:color w:val="5A5A5A" w:themeColor="text1" w:themeTint="A5"/>
          <w:sz w:val="28"/>
          <w:szCs w:val="28"/>
        </w:rPr>
        <w:t>eoecological analyses</w:t>
      </w:r>
      <w:r w:rsidR="00EB404F" w:rsidRPr="00EB404F">
        <w:rPr>
          <w:rStyle w:val="Titelvanboek"/>
          <w:rFonts w:asciiTheme="minorHAnsi" w:eastAsiaTheme="minorEastAsia" w:hAnsiTheme="minorHAnsi" w:cstheme="minorHAnsi"/>
          <w:b w:val="0"/>
          <w:color w:val="5A5A5A" w:themeColor="text1" w:themeTint="A5"/>
          <w:sz w:val="28"/>
          <w:szCs w:val="28"/>
        </w:rPr>
        <w:t xml:space="preserve"> Doelpolder Noord</w:t>
      </w:r>
      <w:r w:rsidRPr="00EB404F">
        <w:rPr>
          <w:rStyle w:val="Titelvanboek"/>
          <w:rFonts w:asciiTheme="minorHAnsi" w:eastAsiaTheme="minorEastAsia" w:hAnsiTheme="minorHAnsi" w:cstheme="minorHAnsi"/>
          <w:b w:val="0"/>
          <w:color w:val="5A5A5A" w:themeColor="text1" w:themeTint="A5"/>
          <w:sz w:val="28"/>
          <w:szCs w:val="28"/>
        </w:rPr>
        <w:t xml:space="preserve">: </w:t>
      </w:r>
    </w:p>
    <w:p w:rsidR="00717343" w:rsidRPr="00EB404F" w:rsidRDefault="00EB404F" w:rsidP="00EB404F">
      <w:pPr>
        <w:spacing w:after="0" w:line="259" w:lineRule="auto"/>
        <w:jc w:val="left"/>
        <w:rPr>
          <w:rStyle w:val="Titelvanboek"/>
          <w:rFonts w:asciiTheme="minorHAnsi" w:eastAsiaTheme="minorEastAsia" w:hAnsiTheme="minorHAnsi" w:cstheme="minorHAnsi"/>
          <w:b w:val="0"/>
          <w:color w:val="5A5A5A" w:themeColor="text1" w:themeTint="A5"/>
          <w:sz w:val="28"/>
          <w:szCs w:val="28"/>
        </w:rPr>
      </w:pPr>
      <w:r w:rsidRPr="00EB404F">
        <w:rPr>
          <w:rStyle w:val="Titelvanboek"/>
          <w:rFonts w:asciiTheme="minorHAnsi" w:eastAsiaTheme="minorEastAsia" w:hAnsiTheme="minorHAnsi" w:cstheme="minorHAnsi"/>
          <w:b w:val="0"/>
          <w:color w:val="5A5A5A" w:themeColor="text1" w:themeTint="A5"/>
          <w:sz w:val="28"/>
          <w:szCs w:val="28"/>
        </w:rPr>
        <w:t>D</w:t>
      </w:r>
      <w:r w:rsidR="00D9079B" w:rsidRPr="00EB404F">
        <w:rPr>
          <w:rStyle w:val="Titelvanboek"/>
          <w:rFonts w:asciiTheme="minorHAnsi" w:eastAsiaTheme="minorEastAsia" w:hAnsiTheme="minorHAnsi" w:cstheme="minorHAnsi"/>
          <w:b w:val="0"/>
          <w:color w:val="5A5A5A" w:themeColor="text1" w:themeTint="A5"/>
          <w:sz w:val="28"/>
          <w:szCs w:val="28"/>
        </w:rPr>
        <w:t>iagrams and description</w:t>
      </w:r>
    </w:p>
    <w:p w:rsidR="00EB404F" w:rsidRPr="00D9079B" w:rsidRDefault="00EB404F">
      <w:pPr>
        <w:spacing w:after="160" w:line="259" w:lineRule="auto"/>
        <w:jc w:val="left"/>
        <w:rPr>
          <w:rStyle w:val="Titelvanboek"/>
          <w:rFonts w:asciiTheme="minorHAnsi" w:eastAsiaTheme="minorEastAsia" w:hAnsiTheme="minorHAnsi" w:cstheme="minorHAnsi"/>
          <w:b w:val="0"/>
          <w:color w:val="5A5A5A" w:themeColor="text1" w:themeTint="A5"/>
        </w:rPr>
      </w:pPr>
    </w:p>
    <w:p w:rsidR="00E32B05" w:rsidRPr="00D9079B" w:rsidRDefault="00E32B05" w:rsidP="006D1D26">
      <w:pPr>
        <w:pStyle w:val="Ondertitel"/>
        <w:tabs>
          <w:tab w:val="left" w:pos="1605"/>
        </w:tabs>
        <w:rPr>
          <w:rStyle w:val="Titelvanboek"/>
          <w:b w:val="0"/>
          <w:sz w:val="36"/>
          <w:szCs w:val="36"/>
        </w:rPr>
      </w:pPr>
      <w:r w:rsidRPr="00D9079B">
        <w:rPr>
          <w:rStyle w:val="Titelvanboek"/>
          <w:b w:val="0"/>
          <w:sz w:val="36"/>
          <w:szCs w:val="36"/>
        </w:rPr>
        <w:t>Diatoms</w:t>
      </w:r>
    </w:p>
    <w:p w:rsidR="00E32B05" w:rsidRDefault="00E32B05" w:rsidP="00E32B05">
      <w:pPr>
        <w:spacing w:after="120"/>
      </w:pPr>
      <w:r>
        <w:t xml:space="preserve">The results of the diatom analysis of </w:t>
      </w:r>
      <w:r>
        <w:rPr>
          <w:i/>
        </w:rPr>
        <w:t>Doelpolder Noord</w:t>
      </w:r>
      <w:r>
        <w:t xml:space="preserve"> are shown in Fig. </w:t>
      </w:r>
      <w:r w:rsidR="00592A2C">
        <w:t>C.1</w:t>
      </w:r>
      <w:r>
        <w:t xml:space="preserve"> and for ecological groups </w:t>
      </w:r>
      <w:r>
        <w:rPr>
          <w:noProof/>
        </w:rPr>
        <w:t>(Denys, 1991)</w:t>
      </w:r>
      <w:r>
        <w:t xml:space="preserve"> we refer to Fig. </w:t>
      </w:r>
      <w:r w:rsidR="00592A2C">
        <w:t>6</w:t>
      </w:r>
      <w:r>
        <w:t xml:space="preserve">.2. All samples show a dominance of taxa from sub- and/or intertidal habitats and taxa that are tolerant to intertidal exposure. Based on life form and salinity preferences, two zones are distinguished. </w:t>
      </w:r>
    </w:p>
    <w:p w:rsidR="00E32B05" w:rsidRDefault="00E32B05" w:rsidP="00E32B05">
      <w:pPr>
        <w:spacing w:after="120"/>
      </w:pPr>
      <w:r>
        <w:t xml:space="preserve">Diatom zone 1 includes two samples in the lower part of the mud layer (below c. -6.50 m MSL), where marine (tycho)plankton (e.g. </w:t>
      </w:r>
      <w:r>
        <w:rPr>
          <w:i/>
        </w:rPr>
        <w:t>Paralia sulcata</w:t>
      </w:r>
      <w:r>
        <w:t xml:space="preserve">, </w:t>
      </w:r>
      <w:r>
        <w:rPr>
          <w:i/>
        </w:rPr>
        <w:t>Cymatosira belgica</w:t>
      </w:r>
      <w:r>
        <w:t xml:space="preserve">, </w:t>
      </w:r>
      <w:r>
        <w:rPr>
          <w:i/>
        </w:rPr>
        <w:t>Rhaphoneis amphiceros</w:t>
      </w:r>
      <w:r>
        <w:t xml:space="preserve">), and marine-brackish benthic and epontic taxa (e.g. </w:t>
      </w:r>
      <w:r>
        <w:rPr>
          <w:i/>
        </w:rPr>
        <w:t>Tryblionella navicularis</w:t>
      </w:r>
      <w:r>
        <w:t xml:space="preserve">, </w:t>
      </w:r>
      <w:r>
        <w:rPr>
          <w:i/>
        </w:rPr>
        <w:t xml:space="preserve">Opephora </w:t>
      </w:r>
      <w:r>
        <w:t xml:space="preserve">sp.) are equally represented. Brackish-freshwater tychoplankton (e.g. </w:t>
      </w:r>
      <w:r>
        <w:rPr>
          <w:i/>
        </w:rPr>
        <w:t>Pseudostaurosira brevistriata</w:t>
      </w:r>
      <w:r>
        <w:t xml:space="preserve">) and epiphytes (e.g. </w:t>
      </w:r>
      <w:r>
        <w:rPr>
          <w:i/>
        </w:rPr>
        <w:t>Cocconeis placentula</w:t>
      </w:r>
      <w:r>
        <w:t xml:space="preserve">) are also typical for this zone. The second sample (-6.61 m MSL) represents a transition towards the next zone. </w:t>
      </w:r>
    </w:p>
    <w:p w:rsidR="00E32B05" w:rsidRDefault="00E32B05" w:rsidP="00E32B05">
      <w:pPr>
        <w:spacing w:after="120"/>
      </w:pPr>
      <w:r>
        <w:t>Diatom zone 2 includes three samples in the upper part of the mud layer (above c. -6.50 m MSL) and is characterized by a lower taxonomic diversity with very high percentages of marine (tycho)plankton (</w:t>
      </w:r>
      <w:r>
        <w:rPr>
          <w:i/>
        </w:rPr>
        <w:t>Paralia sulcata</w:t>
      </w:r>
      <w:r>
        <w:t xml:space="preserve">, </w:t>
      </w:r>
      <w:r>
        <w:rPr>
          <w:i/>
        </w:rPr>
        <w:t>Cymatosira belgica</w:t>
      </w:r>
      <w:r>
        <w:t xml:space="preserve">, </w:t>
      </w:r>
      <w:r>
        <w:rPr>
          <w:i/>
        </w:rPr>
        <w:t>Delphineis minutissima</w:t>
      </w:r>
      <w:r>
        <w:t xml:space="preserve">, </w:t>
      </w:r>
      <w:r>
        <w:rPr>
          <w:i/>
        </w:rPr>
        <w:t>Delphineis surirella</w:t>
      </w:r>
      <w:r>
        <w:t xml:space="preserve">, </w:t>
      </w:r>
      <w:r>
        <w:rPr>
          <w:i/>
        </w:rPr>
        <w:t>Rhaphoneis amphiceros</w:t>
      </w:r>
      <w:r>
        <w:t xml:space="preserve">). In the upper part of the zone, brackish plankton, represented by </w:t>
      </w:r>
      <w:r>
        <w:rPr>
          <w:i/>
        </w:rPr>
        <w:t xml:space="preserve">Cyclotella striata, </w:t>
      </w:r>
      <w:r>
        <w:t xml:space="preserve">increases. </w:t>
      </w:r>
    </w:p>
    <w:p w:rsidR="00E32B05" w:rsidRDefault="00E01B66" w:rsidP="00E32B05">
      <w:pPr>
        <w:spacing w:after="120"/>
      </w:pPr>
      <w:r>
        <w:t xml:space="preserve">In all levels, salinity classes 5 to 7 </w:t>
      </w:r>
      <w:r>
        <w:rPr>
          <w:noProof/>
        </w:rPr>
        <w:t>(Van der Werff, 1958)</w:t>
      </w:r>
      <w:r>
        <w:t xml:space="preserve"> are most represented among benthic diatoms, indicating that the brackish-marine diatoms are most likely to be autochthonous </w:t>
      </w:r>
      <w:r>
        <w:rPr>
          <w:noProof/>
        </w:rPr>
        <w:t>(Beyens and Denys, 1982)</w:t>
      </w:r>
      <w:r>
        <w:t xml:space="preserve">. </w:t>
      </w:r>
      <w:r w:rsidR="00E32B05">
        <w:t xml:space="preserve">Under that assumption, diatoms from salinity classes 2 (marine) to 4 (marine-brackish) are allochthonous, brought in by waves or tides from marine environments, while diatoms from salinity classes 8 (brackish) to 14 (fresh) were transported downstream by the river current. The ratio of each of the allochthonous components to the autochthonous component (M- and F-value) is plotted in Fig. </w:t>
      </w:r>
      <w:r w:rsidR="00592A2C">
        <w:t>6</w:t>
      </w:r>
      <w:r w:rsidR="00E32B05">
        <w:t xml:space="preserve">.2 and provides a measure of the importance of influx of marine and freshwater material </w:t>
      </w:r>
      <w:r w:rsidR="00E32B05">
        <w:rPr>
          <w:noProof/>
        </w:rPr>
        <w:t>(Beyens and Denys, 1982)</w:t>
      </w:r>
      <w:r w:rsidR="00E32B05">
        <w:t xml:space="preserve">. The curves show that a significant allochthonous component is present at all analysed levels. In the base of zone 1, influx of freshwater material and marine material are each somewhat more frequent than the local component. By contrast, in zone 2 the freshwater allochthonous component amounts to 2.5 to 7 times the autochthonous component and the marine allochthonous component exceeds the tenfold of the autochthonous fraction. This indicates that the sediment in the mud layer is composed of a combination of alluvial and marine material, with an increased importance of the marine component in the upper half of the layer. </w:t>
      </w:r>
    </w:p>
    <w:p w:rsidR="00D9079B" w:rsidRDefault="00D9079B" w:rsidP="00D9079B">
      <w:pPr>
        <w:spacing w:after="120"/>
        <w:rPr>
          <w:b/>
          <w:bCs/>
          <w:i/>
        </w:rPr>
      </w:pPr>
      <w:r>
        <w:rPr>
          <w:noProof/>
          <w:lang w:val="nl-BE" w:eastAsia="nl-BE"/>
        </w:rPr>
        <w:lastRenderedPageBreak/>
        <w:drawing>
          <wp:inline distT="0" distB="0" distL="0" distR="0" wp14:anchorId="085A719F" wp14:editId="10C595E4">
            <wp:extent cx="5760720" cy="6579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579599"/>
                    </a:xfrm>
                    <a:prstGeom prst="rect">
                      <a:avLst/>
                    </a:prstGeom>
                    <a:noFill/>
                    <a:ln>
                      <a:noFill/>
                    </a:ln>
                  </pic:spPr>
                </pic:pic>
              </a:graphicData>
            </a:graphic>
          </wp:inline>
        </w:drawing>
      </w:r>
      <w:r w:rsidRPr="00D9079B">
        <w:rPr>
          <w:b/>
          <w:bCs/>
          <w:i/>
        </w:rPr>
        <w:t xml:space="preserve"> </w:t>
      </w:r>
    </w:p>
    <w:p w:rsidR="00D9079B" w:rsidRDefault="00D9079B" w:rsidP="00D9079B">
      <w:pPr>
        <w:spacing w:after="120"/>
        <w:rPr>
          <w:i/>
        </w:rPr>
      </w:pPr>
      <w:r>
        <w:rPr>
          <w:b/>
          <w:bCs/>
          <w:i/>
        </w:rPr>
        <w:t xml:space="preserve">Fig. </w:t>
      </w:r>
      <w:r w:rsidR="00592A2C">
        <w:rPr>
          <w:b/>
          <w:bCs/>
          <w:i/>
        </w:rPr>
        <w:t>C.</w:t>
      </w:r>
      <w:r>
        <w:rPr>
          <w:b/>
          <w:bCs/>
          <w:i/>
        </w:rPr>
        <w:t>1.</w:t>
      </w:r>
      <w:r>
        <w:rPr>
          <w:i/>
        </w:rPr>
        <w:t xml:space="preserve"> Results of diatom analysis of the mud layer from Doelpolder Noord. Taxa are arranged by salinity and life form. Percentages with 10x exaggeration. See Appendix </w:t>
      </w:r>
      <w:r w:rsidR="00592A2C">
        <w:rPr>
          <w:i/>
        </w:rPr>
        <w:t>D</w:t>
      </w:r>
      <w:r>
        <w:rPr>
          <w:i/>
        </w:rPr>
        <w:t xml:space="preserve"> for raw counts (dataset Storme et al. 2019).</w:t>
      </w:r>
    </w:p>
    <w:p w:rsidR="00E32B05" w:rsidRDefault="00E32B05">
      <w:pPr>
        <w:spacing w:after="160" w:line="259" w:lineRule="auto"/>
        <w:jc w:val="left"/>
        <w:rPr>
          <w:b/>
        </w:rPr>
      </w:pPr>
      <w:r>
        <w:rPr>
          <w:b/>
        </w:rPr>
        <w:br w:type="page"/>
      </w:r>
    </w:p>
    <w:p w:rsidR="00E32B05" w:rsidRPr="00D9079B" w:rsidRDefault="00E32B05" w:rsidP="00E32B05">
      <w:pPr>
        <w:pStyle w:val="Ondertitel"/>
        <w:rPr>
          <w:rStyle w:val="Titelvanboek"/>
          <w:b w:val="0"/>
          <w:sz w:val="36"/>
          <w:szCs w:val="36"/>
        </w:rPr>
      </w:pPr>
      <w:r w:rsidRPr="00D9079B">
        <w:rPr>
          <w:rStyle w:val="Titelvanboek"/>
          <w:b w:val="0"/>
          <w:sz w:val="36"/>
          <w:szCs w:val="36"/>
        </w:rPr>
        <w:lastRenderedPageBreak/>
        <w:t>Pollen, spores and non-pollen palynomorphs</w:t>
      </w:r>
    </w:p>
    <w:p w:rsidR="00E32B05" w:rsidRDefault="00E32B05" w:rsidP="00E32B05">
      <w:pPr>
        <w:spacing w:after="120"/>
      </w:pPr>
      <w:r>
        <w:t xml:space="preserve">Palynological analysis of the core from </w:t>
      </w:r>
      <w:r>
        <w:rPr>
          <w:i/>
        </w:rPr>
        <w:t>Doelpolder Noord</w:t>
      </w:r>
      <w:r>
        <w:t xml:space="preserve"> between 4.9 and 7.8 m MSL results in five biozones (Fig. </w:t>
      </w:r>
      <w:r w:rsidR="00592A2C">
        <w:t>C.2</w:t>
      </w:r>
      <w:r>
        <w:t>).</w:t>
      </w:r>
    </w:p>
    <w:p w:rsidR="00E32B05" w:rsidRDefault="00E32B05" w:rsidP="00E32B05">
      <w:pPr>
        <w:spacing w:after="120"/>
      </w:pPr>
      <w:r>
        <w:t xml:space="preserve">Zone DPN 1 corresponds to the lower peat unit. It is characterized by high values of </w:t>
      </w:r>
      <w:r>
        <w:rPr>
          <w:i/>
        </w:rPr>
        <w:t>Alnus</w:t>
      </w:r>
      <w:r>
        <w:t xml:space="preserve"> (up to 50%), indicating that the peat accumulated in an alder carr environment. Towards the top, Cyperaceae and Filicales increase at the expense of </w:t>
      </w:r>
      <w:r>
        <w:rPr>
          <w:i/>
        </w:rPr>
        <w:t>Alnus</w:t>
      </w:r>
      <w:r>
        <w:t xml:space="preserve">, indicating a more open and possibly more mesotrophic marsh. The regional vegetation consisted of </w:t>
      </w:r>
      <w:r>
        <w:rPr>
          <w:i/>
        </w:rPr>
        <w:t>Quercus</w:t>
      </w:r>
      <w:r>
        <w:t xml:space="preserve"> and </w:t>
      </w:r>
      <w:r>
        <w:rPr>
          <w:i/>
        </w:rPr>
        <w:t>Corylus</w:t>
      </w:r>
      <w:r>
        <w:t xml:space="preserve"> forest.</w:t>
      </w:r>
    </w:p>
    <w:p w:rsidR="00E32B05" w:rsidRDefault="00E32B05" w:rsidP="00E32B05">
      <w:pPr>
        <w:spacing w:after="120"/>
      </w:pPr>
      <w:r>
        <w:t>In zone DPN 2 the local elements of the previous zone (</w:t>
      </w:r>
      <w:r>
        <w:rPr>
          <w:i/>
        </w:rPr>
        <w:t xml:space="preserve">Alnus, </w:t>
      </w:r>
      <w:r>
        <w:t>Filicales,</w:t>
      </w:r>
      <w:r>
        <w:rPr>
          <w:i/>
        </w:rPr>
        <w:t xml:space="preserve"> </w:t>
      </w:r>
      <w:r>
        <w:t xml:space="preserve">Cyperaceae) decline, while the regional vegetation remains largely unaltered. </w:t>
      </w:r>
      <w:r>
        <w:rPr>
          <w:i/>
        </w:rPr>
        <w:t xml:space="preserve">Pinus sylvestris </w:t>
      </w:r>
      <w:r>
        <w:t xml:space="preserve">and Poaceae percentages show an increase. Chenopodiaceae and subsequently also dinoflagellate cysts appear and form a low but continuous curve. Most dinoflagellate cysts are contemporaneous, but occasionally cysts are recognized as reworked, older forms (cf. separate curve in Fig. </w:t>
      </w:r>
      <w:r w:rsidR="00592A2C">
        <w:t>C.2</w:t>
      </w:r>
      <w:r>
        <w:t>).</w:t>
      </w:r>
    </w:p>
    <w:p w:rsidR="00E32B05" w:rsidRDefault="00E32B05" w:rsidP="00E32B05">
      <w:pPr>
        <w:spacing w:after="120"/>
      </w:pPr>
      <w:r>
        <w:t xml:space="preserve">Zone DPN3 is characterized by high values of </w:t>
      </w:r>
      <w:r>
        <w:rPr>
          <w:i/>
        </w:rPr>
        <w:t xml:space="preserve">Salix. Pinus sylvestris </w:t>
      </w:r>
      <w:r>
        <w:t>and Poaceae retain the values of the previous zone and</w:t>
      </w:r>
      <w:r>
        <w:rPr>
          <w:i/>
        </w:rPr>
        <w:t xml:space="preserve"> Pteridium</w:t>
      </w:r>
      <w:r>
        <w:t>, Chenopodiaceae and dinoflagellate cysts reach their maximum.</w:t>
      </w:r>
    </w:p>
    <w:p w:rsidR="00E32B05" w:rsidRDefault="00E32B05" w:rsidP="00E32B05">
      <w:pPr>
        <w:spacing w:after="120"/>
      </w:pPr>
      <w:r>
        <w:t xml:space="preserve">The transition from zone DPN3 to DPN4 is very sharp: an increase in </w:t>
      </w:r>
      <w:r>
        <w:rPr>
          <w:i/>
        </w:rPr>
        <w:t xml:space="preserve">Alnus </w:t>
      </w:r>
      <w:r>
        <w:t xml:space="preserve">coincides with the decrease of </w:t>
      </w:r>
      <w:r>
        <w:rPr>
          <w:i/>
        </w:rPr>
        <w:t>Pinus sylvestris</w:t>
      </w:r>
      <w:r>
        <w:t xml:space="preserve">, </w:t>
      </w:r>
      <w:r>
        <w:rPr>
          <w:i/>
        </w:rPr>
        <w:t>Salix</w:t>
      </w:r>
      <w:r>
        <w:t xml:space="preserve">, Chenopodiaceae, Cyperaceae, Poaceae, </w:t>
      </w:r>
      <w:r>
        <w:rPr>
          <w:i/>
        </w:rPr>
        <w:t>Pteridium</w:t>
      </w:r>
      <w:r>
        <w:t xml:space="preserve"> and dinoflagellate cysts. These spectra are very similar to those of zone DPN1, except for the continued presence of low amounts of Chenopodiaceae and Dinoflagellate cysts in most of the levels. </w:t>
      </w:r>
      <w:r>
        <w:rPr>
          <w:i/>
        </w:rPr>
        <w:t>Salix</w:t>
      </w:r>
      <w:r>
        <w:t xml:space="preserve">, </w:t>
      </w:r>
      <w:r>
        <w:rPr>
          <w:i/>
        </w:rPr>
        <w:t xml:space="preserve">Solanum dulcamara </w:t>
      </w:r>
      <w:r>
        <w:t xml:space="preserve">and </w:t>
      </w:r>
      <w:r>
        <w:rPr>
          <w:i/>
        </w:rPr>
        <w:t xml:space="preserve">Urtica dioica </w:t>
      </w:r>
      <w:r>
        <w:t>type show moderate peaks in the top.</w:t>
      </w:r>
    </w:p>
    <w:p w:rsidR="00E32B05" w:rsidRDefault="00E32B05" w:rsidP="00E32B05">
      <w:pPr>
        <w:spacing w:after="120"/>
      </w:pPr>
      <w:r>
        <w:t xml:space="preserve">Zone DPN5 differs from the underlying zone in the low values of </w:t>
      </w:r>
      <w:r>
        <w:rPr>
          <w:i/>
        </w:rPr>
        <w:t xml:space="preserve">Alnus </w:t>
      </w:r>
      <w:r>
        <w:t>and the abundance of Cyperaceae and Filicales.</w:t>
      </w:r>
    </w:p>
    <w:p w:rsidR="00D9079B" w:rsidRDefault="00D9079B" w:rsidP="00D9079B">
      <w:pPr>
        <w:spacing w:after="120"/>
      </w:pPr>
      <w:r>
        <w:rPr>
          <w:noProof/>
          <w:lang w:val="nl-BE" w:eastAsia="nl-BE"/>
        </w:rPr>
        <w:lastRenderedPageBreak/>
        <w:drawing>
          <wp:inline distT="0" distB="0" distL="0" distR="0" wp14:anchorId="38B217EA" wp14:editId="234C3A03">
            <wp:extent cx="5762625" cy="6838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6838950"/>
                    </a:xfrm>
                    <a:prstGeom prst="rect">
                      <a:avLst/>
                    </a:prstGeom>
                    <a:noFill/>
                    <a:ln>
                      <a:noFill/>
                    </a:ln>
                  </pic:spPr>
                </pic:pic>
              </a:graphicData>
            </a:graphic>
          </wp:inline>
        </w:drawing>
      </w:r>
    </w:p>
    <w:p w:rsidR="00D9079B" w:rsidRDefault="00D9079B" w:rsidP="00D9079B">
      <w:pPr>
        <w:spacing w:after="120"/>
        <w:rPr>
          <w:i/>
        </w:rPr>
      </w:pPr>
      <w:r>
        <w:rPr>
          <w:b/>
          <w:bCs/>
          <w:i/>
        </w:rPr>
        <w:t xml:space="preserve">Fig. </w:t>
      </w:r>
      <w:r w:rsidR="00592A2C">
        <w:rPr>
          <w:b/>
          <w:bCs/>
          <w:i/>
        </w:rPr>
        <w:t>C.</w:t>
      </w:r>
      <w:r>
        <w:rPr>
          <w:b/>
          <w:bCs/>
          <w:i/>
        </w:rPr>
        <w:t>2.</w:t>
      </w:r>
      <w:r>
        <w:rPr>
          <w:i/>
        </w:rPr>
        <w:t xml:space="preserve"> Results of palynological analysis of Doelpolder Noord. Percentages with 10x exaggeration. See Appendix </w:t>
      </w:r>
      <w:r w:rsidR="00592A2C">
        <w:rPr>
          <w:i/>
        </w:rPr>
        <w:t>E</w:t>
      </w:r>
      <w:r>
        <w:rPr>
          <w:i/>
        </w:rPr>
        <w:t xml:space="preserve"> for raw counts (dataset Storme et al. 2019).</w:t>
      </w:r>
    </w:p>
    <w:p w:rsidR="00E32B05" w:rsidRDefault="00E32B05">
      <w:pPr>
        <w:spacing w:after="160" w:line="259" w:lineRule="auto"/>
        <w:jc w:val="left"/>
        <w:rPr>
          <w:b/>
        </w:rPr>
      </w:pPr>
      <w:r>
        <w:rPr>
          <w:b/>
        </w:rPr>
        <w:br w:type="page"/>
      </w:r>
    </w:p>
    <w:p w:rsidR="00E32B05" w:rsidRPr="00D9079B" w:rsidRDefault="00D9079B" w:rsidP="00E32B05">
      <w:pPr>
        <w:pStyle w:val="Ondertitel"/>
        <w:rPr>
          <w:rStyle w:val="Titelvanboek"/>
          <w:b w:val="0"/>
          <w:sz w:val="36"/>
          <w:szCs w:val="36"/>
        </w:rPr>
      </w:pPr>
      <w:r>
        <w:rPr>
          <w:rStyle w:val="Titelvanboek"/>
          <w:b w:val="0"/>
          <w:sz w:val="36"/>
          <w:szCs w:val="36"/>
        </w:rPr>
        <w:lastRenderedPageBreak/>
        <w:t>Botanical m</w:t>
      </w:r>
      <w:r w:rsidR="00E32B05" w:rsidRPr="00D9079B">
        <w:rPr>
          <w:rStyle w:val="Titelvanboek"/>
          <w:b w:val="0"/>
          <w:sz w:val="36"/>
          <w:szCs w:val="36"/>
        </w:rPr>
        <w:t>acroremains</w:t>
      </w:r>
    </w:p>
    <w:p w:rsidR="00E32B05" w:rsidRDefault="00E32B05" w:rsidP="00E32B05">
      <w:pPr>
        <w:spacing w:after="120"/>
        <w:rPr>
          <w:color w:val="000000"/>
        </w:rPr>
      </w:pPr>
      <w:r>
        <w:rPr>
          <w:color w:val="000000"/>
        </w:rPr>
        <w:t xml:space="preserve">In total 35 taxa have been encountered in the part of the sequence investigated for seeds and fruits (Fig. </w:t>
      </w:r>
      <w:r w:rsidR="00592A2C">
        <w:rPr>
          <w:color w:val="000000"/>
        </w:rPr>
        <w:t>C.3</w:t>
      </w:r>
      <w:r>
        <w:rPr>
          <w:color w:val="000000"/>
        </w:rPr>
        <w:t xml:space="preserve">). 25 taxa have been identified to the level of a single species or two species. The taxa comprise trees and shrubs, herbs and aquatics. </w:t>
      </w:r>
    </w:p>
    <w:p w:rsidR="00E32B05" w:rsidRDefault="00E32B05" w:rsidP="00E32B05">
      <w:pPr>
        <w:spacing w:after="120"/>
        <w:rPr>
          <w:color w:val="000000"/>
        </w:rPr>
      </w:pPr>
      <w:r>
        <w:rPr>
          <w:color w:val="000000"/>
        </w:rPr>
        <w:t xml:space="preserve">Trees and shrubs are near absent in the lower part of the sequence investigated for seeds and fruits (under -6.05 m MSL), with only </w:t>
      </w:r>
      <w:r>
        <w:rPr>
          <w:i/>
          <w:color w:val="000000"/>
        </w:rPr>
        <w:t>Alnus glutinosa</w:t>
      </w:r>
      <w:r>
        <w:rPr>
          <w:color w:val="000000"/>
        </w:rPr>
        <w:t xml:space="preserve">, </w:t>
      </w:r>
      <w:r>
        <w:rPr>
          <w:i/>
          <w:color w:val="000000"/>
        </w:rPr>
        <w:t>Betula alba</w:t>
      </w:r>
      <w:r>
        <w:rPr>
          <w:color w:val="000000"/>
        </w:rPr>
        <w:t>/</w:t>
      </w:r>
      <w:r>
        <w:rPr>
          <w:i/>
          <w:color w:val="000000"/>
        </w:rPr>
        <w:t xml:space="preserve">pendula </w:t>
      </w:r>
      <w:r>
        <w:rPr>
          <w:color w:val="000000"/>
        </w:rPr>
        <w:t xml:space="preserve">and </w:t>
      </w:r>
      <w:r>
        <w:rPr>
          <w:i/>
          <w:color w:val="000000"/>
        </w:rPr>
        <w:t>Cornus sanguinea</w:t>
      </w:r>
      <w:r>
        <w:rPr>
          <w:color w:val="000000"/>
        </w:rPr>
        <w:t xml:space="preserve"> present. Above -6.05 m MSL numbers of </w:t>
      </w:r>
      <w:r>
        <w:rPr>
          <w:i/>
          <w:color w:val="000000"/>
        </w:rPr>
        <w:t>Alnus glutinosa</w:t>
      </w:r>
      <w:r>
        <w:rPr>
          <w:color w:val="000000"/>
        </w:rPr>
        <w:t xml:space="preserve"> rise sharply, accompanied by ten other tree and shrub species, be it in modest numbers (</w:t>
      </w:r>
      <w:r>
        <w:rPr>
          <w:i/>
          <w:color w:val="000000"/>
        </w:rPr>
        <w:t xml:space="preserve">Corylus avellana, Crataegus monogyna, Frangula alnus, Ilex aquifolium, Prunus </w:t>
      </w:r>
      <w:r>
        <w:rPr>
          <w:color w:val="000000"/>
        </w:rPr>
        <w:t>sp.</w:t>
      </w:r>
      <w:r>
        <w:rPr>
          <w:i/>
          <w:color w:val="000000"/>
        </w:rPr>
        <w:t xml:space="preserve">, Quercus </w:t>
      </w:r>
      <w:r>
        <w:rPr>
          <w:color w:val="000000"/>
        </w:rPr>
        <w:t>sp.,</w:t>
      </w:r>
      <w:r>
        <w:rPr>
          <w:i/>
          <w:color w:val="000000"/>
        </w:rPr>
        <w:t xml:space="preserve"> Rhamnus cathartica, </w:t>
      </w:r>
      <w:r>
        <w:rPr>
          <w:color w:val="000000"/>
        </w:rPr>
        <w:t>cf.</w:t>
      </w:r>
      <w:r>
        <w:rPr>
          <w:i/>
          <w:color w:val="000000"/>
        </w:rPr>
        <w:t xml:space="preserve"> Populus </w:t>
      </w:r>
      <w:r>
        <w:rPr>
          <w:color w:val="000000"/>
        </w:rPr>
        <w:t xml:space="preserve">/ </w:t>
      </w:r>
      <w:r>
        <w:rPr>
          <w:i/>
          <w:color w:val="000000"/>
        </w:rPr>
        <w:t xml:space="preserve">Salix </w:t>
      </w:r>
      <w:r>
        <w:rPr>
          <w:color w:val="000000"/>
        </w:rPr>
        <w:t>sp. and</w:t>
      </w:r>
      <w:r>
        <w:rPr>
          <w:i/>
          <w:color w:val="000000"/>
        </w:rPr>
        <w:t xml:space="preserve"> Viburnum opulus</w:t>
      </w:r>
      <w:r>
        <w:rPr>
          <w:color w:val="000000"/>
        </w:rPr>
        <w:t xml:space="preserve">). </w:t>
      </w:r>
      <w:r>
        <w:rPr>
          <w:i/>
          <w:color w:val="000000"/>
        </w:rPr>
        <w:t>Alnus glutinosa</w:t>
      </w:r>
      <w:r>
        <w:rPr>
          <w:color w:val="000000"/>
        </w:rPr>
        <w:t xml:space="preserve"> outnumbers the other species by far, but it produces much more seeds, apart from cf. </w:t>
      </w:r>
      <w:r>
        <w:rPr>
          <w:i/>
          <w:color w:val="000000"/>
        </w:rPr>
        <w:t xml:space="preserve">Populus </w:t>
      </w:r>
      <w:r>
        <w:rPr>
          <w:color w:val="000000"/>
        </w:rPr>
        <w:t xml:space="preserve">/ </w:t>
      </w:r>
      <w:r>
        <w:rPr>
          <w:i/>
          <w:color w:val="000000"/>
        </w:rPr>
        <w:t xml:space="preserve">Salix </w:t>
      </w:r>
      <w:r>
        <w:rPr>
          <w:color w:val="000000"/>
        </w:rPr>
        <w:t xml:space="preserve">sp., which is difficult to recover however due to the small and brittle remains. </w:t>
      </w:r>
    </w:p>
    <w:p w:rsidR="00E32B05" w:rsidRDefault="00E32B05" w:rsidP="00E32B05">
      <w:pPr>
        <w:spacing w:after="120"/>
        <w:rPr>
          <w:color w:val="000000"/>
        </w:rPr>
      </w:pPr>
      <w:r>
        <w:rPr>
          <w:color w:val="000000"/>
        </w:rPr>
        <w:t xml:space="preserve">Herbs and aquatics are present throughout the part of the sequence investigated for seeds and fruits. </w:t>
      </w:r>
      <w:r>
        <w:rPr>
          <w:i/>
          <w:color w:val="000000"/>
        </w:rPr>
        <w:t>Carex elata</w:t>
      </w:r>
      <w:r>
        <w:rPr>
          <w:color w:val="000000"/>
        </w:rPr>
        <w:t xml:space="preserve"> group, </w:t>
      </w:r>
      <w:r>
        <w:rPr>
          <w:i/>
          <w:color w:val="000000"/>
        </w:rPr>
        <w:t>Lysimachia</w:t>
      </w:r>
      <w:r>
        <w:rPr>
          <w:color w:val="000000"/>
        </w:rPr>
        <w:t xml:space="preserve"> cf. </w:t>
      </w:r>
      <w:r>
        <w:rPr>
          <w:i/>
          <w:color w:val="000000"/>
        </w:rPr>
        <w:t>vulgaris</w:t>
      </w:r>
      <w:r>
        <w:rPr>
          <w:color w:val="000000"/>
        </w:rPr>
        <w:t xml:space="preserve">, </w:t>
      </w:r>
      <w:r>
        <w:rPr>
          <w:i/>
          <w:color w:val="000000"/>
        </w:rPr>
        <w:t>Solanum nigrum</w:t>
      </w:r>
      <w:r>
        <w:rPr>
          <w:color w:val="000000"/>
        </w:rPr>
        <w:t xml:space="preserve">, </w:t>
      </w:r>
      <w:r>
        <w:rPr>
          <w:i/>
          <w:color w:val="000000"/>
        </w:rPr>
        <w:t xml:space="preserve">Cladium mariscus </w:t>
      </w:r>
      <w:r>
        <w:rPr>
          <w:color w:val="000000"/>
        </w:rPr>
        <w:t xml:space="preserve">and </w:t>
      </w:r>
      <w:r>
        <w:rPr>
          <w:i/>
          <w:color w:val="000000"/>
        </w:rPr>
        <w:t>Rumex hydrolapathum</w:t>
      </w:r>
      <w:r>
        <w:rPr>
          <w:color w:val="000000"/>
        </w:rPr>
        <w:t xml:space="preserve"> are confined to the lower part of the sequence investigated for seeds and fruits (-6.05 m MSL), while </w:t>
      </w:r>
      <w:r>
        <w:rPr>
          <w:i/>
          <w:color w:val="000000"/>
        </w:rPr>
        <w:t>Caltha palustris</w:t>
      </w:r>
      <w:r>
        <w:rPr>
          <w:color w:val="000000"/>
        </w:rPr>
        <w:t xml:space="preserve">, </w:t>
      </w:r>
      <w:r>
        <w:rPr>
          <w:i/>
          <w:color w:val="000000"/>
        </w:rPr>
        <w:t>Filipendula ulmaria</w:t>
      </w:r>
      <w:r>
        <w:rPr>
          <w:color w:val="000000"/>
        </w:rPr>
        <w:t xml:space="preserve">, </w:t>
      </w:r>
      <w:r>
        <w:rPr>
          <w:i/>
          <w:color w:val="000000"/>
        </w:rPr>
        <w:t>Valeriana officinalis</w:t>
      </w:r>
      <w:r>
        <w:rPr>
          <w:color w:val="000000"/>
        </w:rPr>
        <w:t xml:space="preserve"> and </w:t>
      </w:r>
      <w:r>
        <w:rPr>
          <w:i/>
          <w:color w:val="000000"/>
        </w:rPr>
        <w:t>Menyanthes trifoliata</w:t>
      </w:r>
      <w:r>
        <w:rPr>
          <w:color w:val="000000"/>
        </w:rPr>
        <w:t xml:space="preserve"> occur only above -6.05 m MSL. </w:t>
      </w:r>
      <w:bookmarkStart w:id="0" w:name="_Hlk5568810"/>
      <w:r>
        <w:rPr>
          <w:i/>
          <w:color w:val="000000"/>
        </w:rPr>
        <w:t>Lycopus europaeus</w:t>
      </w:r>
      <w:r>
        <w:rPr>
          <w:color w:val="000000"/>
        </w:rPr>
        <w:t xml:space="preserve">, </w:t>
      </w:r>
      <w:r>
        <w:rPr>
          <w:i/>
          <w:color w:val="000000"/>
        </w:rPr>
        <w:t xml:space="preserve">Mentha aquatica </w:t>
      </w:r>
      <w:r>
        <w:rPr>
          <w:color w:val="000000"/>
        </w:rPr>
        <w:t>/</w:t>
      </w:r>
      <w:r>
        <w:rPr>
          <w:i/>
          <w:color w:val="000000"/>
        </w:rPr>
        <w:t xml:space="preserve"> arvensis</w:t>
      </w:r>
      <w:r>
        <w:rPr>
          <w:color w:val="000000"/>
        </w:rPr>
        <w:t xml:space="preserve">, </w:t>
      </w:r>
      <w:r>
        <w:rPr>
          <w:i/>
          <w:color w:val="000000"/>
        </w:rPr>
        <w:t>Solanum dulcamara</w:t>
      </w:r>
      <w:r>
        <w:rPr>
          <w:color w:val="000000"/>
        </w:rPr>
        <w:t>,</w:t>
      </w:r>
      <w:r>
        <w:rPr>
          <w:i/>
          <w:color w:val="000000"/>
        </w:rPr>
        <w:t xml:space="preserve"> Stachys palustris</w:t>
      </w:r>
      <w:r>
        <w:rPr>
          <w:color w:val="000000"/>
        </w:rPr>
        <w:t xml:space="preserve">, </w:t>
      </w:r>
      <w:r>
        <w:rPr>
          <w:i/>
          <w:color w:val="000000"/>
        </w:rPr>
        <w:t xml:space="preserve">Alisma plantago-aquatica </w:t>
      </w:r>
      <w:r>
        <w:rPr>
          <w:color w:val="000000"/>
        </w:rPr>
        <w:t xml:space="preserve">/ </w:t>
      </w:r>
      <w:r>
        <w:rPr>
          <w:i/>
          <w:color w:val="000000"/>
        </w:rPr>
        <w:t xml:space="preserve">lanceolatum </w:t>
      </w:r>
      <w:r>
        <w:rPr>
          <w:color w:val="000000"/>
        </w:rPr>
        <w:t xml:space="preserve">and </w:t>
      </w:r>
      <w:r>
        <w:rPr>
          <w:i/>
          <w:color w:val="000000"/>
        </w:rPr>
        <w:t>Berula erecta</w:t>
      </w:r>
      <w:r>
        <w:rPr>
          <w:color w:val="000000"/>
        </w:rPr>
        <w:t xml:space="preserve"> </w:t>
      </w:r>
      <w:bookmarkEnd w:id="0"/>
      <w:r>
        <w:rPr>
          <w:color w:val="000000"/>
        </w:rPr>
        <w:t>occur in the entire sequence.</w:t>
      </w:r>
    </w:p>
    <w:p w:rsidR="00E32B05" w:rsidRDefault="00E32B05" w:rsidP="00E32B05">
      <w:pPr>
        <w:spacing w:after="120"/>
        <w:rPr>
          <w:color w:val="000000"/>
        </w:rPr>
      </w:pPr>
      <w:r>
        <w:rPr>
          <w:color w:val="000000"/>
        </w:rPr>
        <w:t>Towards the upper end of the sequence taxa and numbers of seeds diminish.</w:t>
      </w:r>
    </w:p>
    <w:p w:rsidR="00E32B05" w:rsidRDefault="00E32B05" w:rsidP="00E32B05">
      <w:pPr>
        <w:spacing w:after="120"/>
        <w:rPr>
          <w:color w:val="000000"/>
        </w:rPr>
      </w:pPr>
    </w:p>
    <w:p w:rsidR="00E32B05" w:rsidRDefault="00E32B05" w:rsidP="00E32B05">
      <w:pPr>
        <w:spacing w:after="120"/>
        <w:rPr>
          <w:color w:val="000000"/>
        </w:rPr>
      </w:pPr>
      <w:r>
        <w:rPr>
          <w:color w:val="000000"/>
        </w:rPr>
        <w:t xml:space="preserve">Though some herb and aquatic species (e.g. </w:t>
      </w:r>
      <w:r>
        <w:rPr>
          <w:i/>
          <w:color w:val="000000"/>
        </w:rPr>
        <w:t>Berula erecta</w:t>
      </w:r>
      <w:r>
        <w:rPr>
          <w:color w:val="000000"/>
        </w:rPr>
        <w:t xml:space="preserve">, </w:t>
      </w:r>
      <w:r>
        <w:rPr>
          <w:i/>
          <w:color w:val="000000"/>
        </w:rPr>
        <w:t>Lycopus europaeus</w:t>
      </w:r>
      <w:r>
        <w:rPr>
          <w:color w:val="000000"/>
        </w:rPr>
        <w:t xml:space="preserve">, </w:t>
      </w:r>
      <w:r>
        <w:rPr>
          <w:i/>
          <w:color w:val="000000"/>
        </w:rPr>
        <w:t>Solanum dulcamara</w:t>
      </w:r>
      <w:r>
        <w:rPr>
          <w:color w:val="000000"/>
        </w:rPr>
        <w:t xml:space="preserve">, …) and even </w:t>
      </w:r>
      <w:r>
        <w:rPr>
          <w:i/>
          <w:color w:val="000000"/>
        </w:rPr>
        <w:t>Alnus glutinosa</w:t>
      </w:r>
      <w:r>
        <w:rPr>
          <w:color w:val="000000"/>
        </w:rPr>
        <w:t xml:space="preserve"> </w:t>
      </w:r>
      <w:r>
        <w:rPr>
          <w:noProof/>
          <w:color w:val="000000"/>
        </w:rPr>
        <w:t>(Stortelder et al., 1998</w:t>
      </w:r>
      <w:r>
        <w:rPr>
          <w:color w:val="000000"/>
        </w:rPr>
        <w:t xml:space="preserve">, 139-141: </w:t>
      </w:r>
      <w:r>
        <w:rPr>
          <w:i/>
          <w:color w:val="000000"/>
        </w:rPr>
        <w:t>Thelypterido-Alnetum caricetosum ripariae</w:t>
      </w:r>
      <w:r>
        <w:rPr>
          <w:color w:val="000000"/>
        </w:rPr>
        <w:t>) can tolerate some increased salinity, the overall picture is one of a freshwater environment. Several species may occur in tidal environments (</w:t>
      </w:r>
      <w:r>
        <w:rPr>
          <w:i/>
          <w:color w:val="000000"/>
        </w:rPr>
        <w:t>Caltha palustris</w:t>
      </w:r>
      <w:r>
        <w:rPr>
          <w:color w:val="000000"/>
        </w:rPr>
        <w:t xml:space="preserve">, </w:t>
      </w:r>
      <w:r>
        <w:rPr>
          <w:i/>
          <w:color w:val="000000"/>
        </w:rPr>
        <w:t>Lycopus europaeus</w:t>
      </w:r>
      <w:r>
        <w:rPr>
          <w:color w:val="000000"/>
        </w:rPr>
        <w:t xml:space="preserve">, </w:t>
      </w:r>
      <w:r>
        <w:rPr>
          <w:i/>
          <w:color w:val="000000"/>
        </w:rPr>
        <w:t xml:space="preserve">Lysimachia </w:t>
      </w:r>
      <w:r>
        <w:rPr>
          <w:color w:val="000000"/>
        </w:rPr>
        <w:t xml:space="preserve">cf. </w:t>
      </w:r>
      <w:r>
        <w:rPr>
          <w:i/>
          <w:color w:val="000000"/>
        </w:rPr>
        <w:t>vulgaris</w:t>
      </w:r>
      <w:r>
        <w:rPr>
          <w:color w:val="000000"/>
        </w:rPr>
        <w:t xml:space="preserve">, </w:t>
      </w:r>
      <w:r>
        <w:rPr>
          <w:i/>
          <w:color w:val="000000"/>
        </w:rPr>
        <w:t>Solanum dulcamara</w:t>
      </w:r>
      <w:r>
        <w:rPr>
          <w:color w:val="000000"/>
        </w:rPr>
        <w:t xml:space="preserve">, </w:t>
      </w:r>
      <w:r>
        <w:rPr>
          <w:i/>
          <w:color w:val="000000"/>
        </w:rPr>
        <w:t>Stachys palustris</w:t>
      </w:r>
      <w:r>
        <w:rPr>
          <w:color w:val="000000"/>
        </w:rPr>
        <w:t xml:space="preserve">, </w:t>
      </w:r>
      <w:r>
        <w:rPr>
          <w:i/>
          <w:color w:val="000000"/>
        </w:rPr>
        <w:t>Valeriana officinalis, …</w:t>
      </w:r>
      <w:r>
        <w:rPr>
          <w:color w:val="000000"/>
        </w:rPr>
        <w:t xml:space="preserve">), however none is exclusively bound to the tidal zone. Their main distribution however lies outside the tidal area. </w:t>
      </w:r>
    </w:p>
    <w:p w:rsidR="00E32B05" w:rsidRDefault="00E32B05" w:rsidP="00E32B05">
      <w:pPr>
        <w:spacing w:after="120"/>
      </w:pPr>
      <w:r>
        <w:t xml:space="preserve">Keeping possible transport well in mind, the following vegetation types could be present near the site: wet woodland (especially in the upper part; dominated by </w:t>
      </w:r>
      <w:r>
        <w:rPr>
          <w:i/>
        </w:rPr>
        <w:t>Alnus glutinosa?</w:t>
      </w:r>
      <w:r>
        <w:t xml:space="preserve">), swamps and tall-herb fens (dominated by </w:t>
      </w:r>
      <w:r>
        <w:rPr>
          <w:i/>
        </w:rPr>
        <w:t>Carex</w:t>
      </w:r>
      <w:r>
        <w:t xml:space="preserve"> species and </w:t>
      </w:r>
      <w:r>
        <w:rPr>
          <w:i/>
        </w:rPr>
        <w:t>Cladium mariscus</w:t>
      </w:r>
      <w:r>
        <w:t>) and riparian vegetation. They reveal stable, rather nutrient-rich conditions.</w:t>
      </w:r>
    </w:p>
    <w:p w:rsidR="00E32B05" w:rsidRDefault="00E32B05" w:rsidP="00E32B05">
      <w:pPr>
        <w:spacing w:after="120"/>
      </w:pPr>
      <w:r>
        <w:rPr>
          <w:noProof/>
          <w:lang w:val="nl-BE" w:eastAsia="nl-BE"/>
        </w:rPr>
        <w:lastRenderedPageBreak/>
        <w:drawing>
          <wp:inline distT="0" distB="0" distL="0" distR="0">
            <wp:extent cx="5762625" cy="3162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764AE5" w:rsidRDefault="00E32B05" w:rsidP="00E32B05">
      <w:pPr>
        <w:spacing w:after="120"/>
        <w:rPr>
          <w:i/>
          <w:lang w:val="en-US"/>
        </w:rPr>
      </w:pPr>
      <w:r>
        <w:rPr>
          <w:b/>
          <w:bCs/>
          <w:i/>
        </w:rPr>
        <w:t xml:space="preserve">Fig. </w:t>
      </w:r>
      <w:r w:rsidR="00592A2C">
        <w:rPr>
          <w:b/>
          <w:bCs/>
          <w:i/>
        </w:rPr>
        <w:t>C.</w:t>
      </w:r>
      <w:r w:rsidR="00D9079B">
        <w:rPr>
          <w:b/>
          <w:bCs/>
          <w:i/>
        </w:rPr>
        <w:t>3</w:t>
      </w:r>
      <w:r>
        <w:rPr>
          <w:b/>
          <w:bCs/>
          <w:i/>
        </w:rPr>
        <w:t>.</w:t>
      </w:r>
      <w:r>
        <w:rPr>
          <w:i/>
        </w:rPr>
        <w:t xml:space="preserve"> Results of macrobotanical analysis from Doelpolder Noord. All botanical remains are seeds, unless stated otherwise. See </w:t>
      </w:r>
      <w:r>
        <w:rPr>
          <w:i/>
          <w:lang w:val="en-US"/>
        </w:rPr>
        <w:t xml:space="preserve">Appendix </w:t>
      </w:r>
      <w:r w:rsidR="00592A2C">
        <w:rPr>
          <w:i/>
          <w:lang w:val="en-US"/>
        </w:rPr>
        <w:t>F</w:t>
      </w:r>
      <w:r>
        <w:rPr>
          <w:i/>
          <w:lang w:val="en-US"/>
        </w:rPr>
        <w:t xml:space="preserve"> for raw counts (dataset Storme et al. 2019).</w:t>
      </w:r>
    </w:p>
    <w:p w:rsidR="00D36141" w:rsidRDefault="00D36141" w:rsidP="00E32B05">
      <w:pPr>
        <w:spacing w:after="120"/>
        <w:rPr>
          <w:i/>
          <w:lang w:val="en-US"/>
        </w:rPr>
      </w:pPr>
    </w:p>
    <w:p w:rsidR="00D36141" w:rsidRDefault="00D36141" w:rsidP="00E32B05">
      <w:pPr>
        <w:spacing w:after="120"/>
        <w:rPr>
          <w:i/>
          <w:lang w:val="en-US"/>
        </w:rPr>
      </w:pPr>
    </w:p>
    <w:p w:rsidR="00D36141" w:rsidRDefault="00D36141" w:rsidP="00E32B05">
      <w:pPr>
        <w:spacing w:after="120"/>
        <w:rPr>
          <w:b/>
          <w:bCs/>
          <w:i/>
          <w:lang w:val="en-US"/>
        </w:rPr>
      </w:pPr>
      <w:r w:rsidRPr="00D36141">
        <w:rPr>
          <w:b/>
          <w:bCs/>
          <w:i/>
          <w:lang w:val="en-US"/>
        </w:rPr>
        <w:t xml:space="preserve">References </w:t>
      </w:r>
    </w:p>
    <w:p w:rsidR="00D36141" w:rsidRPr="00D36141" w:rsidRDefault="00D36141" w:rsidP="00D36141">
      <w:pPr>
        <w:widowControl w:val="0"/>
        <w:autoSpaceDE w:val="0"/>
        <w:autoSpaceDN w:val="0"/>
        <w:adjustRightInd w:val="0"/>
        <w:spacing w:after="160" w:line="240" w:lineRule="auto"/>
        <w:ind w:left="480" w:hanging="480"/>
        <w:jc w:val="left"/>
        <w:rPr>
          <w:rFonts w:eastAsiaTheme="minorHAnsi" w:cs="Calibri"/>
          <w:noProof/>
          <w:sz w:val="22"/>
          <w:lang w:val="nl-BE"/>
        </w:rPr>
      </w:pPr>
      <w:proofErr w:type="spellStart"/>
      <w:r w:rsidRPr="00D36141">
        <w:rPr>
          <w:rFonts w:eastAsiaTheme="minorHAnsi" w:cs="Calibri"/>
          <w:noProof/>
          <w:sz w:val="22"/>
          <w:lang w:val="nl-BE"/>
        </w:rPr>
        <w:t>Beyens</w:t>
      </w:r>
      <w:proofErr w:type="spellEnd"/>
      <w:r w:rsidRPr="00D36141">
        <w:rPr>
          <w:rFonts w:eastAsiaTheme="minorHAnsi" w:cs="Calibri"/>
          <w:noProof/>
          <w:sz w:val="22"/>
          <w:lang w:val="nl-BE"/>
        </w:rPr>
        <w:t xml:space="preserve">, L., Denys, L., 1982. Problems in diatom analysis of deposits: allochthonous valves and fragmentation. Geologie </w:t>
      </w:r>
      <w:r>
        <w:rPr>
          <w:rFonts w:eastAsiaTheme="minorHAnsi" w:cs="Calibri"/>
          <w:noProof/>
          <w:sz w:val="22"/>
          <w:lang w:val="nl-BE"/>
        </w:rPr>
        <w:t>e</w:t>
      </w:r>
      <w:r w:rsidRPr="00D36141">
        <w:rPr>
          <w:rFonts w:eastAsiaTheme="minorHAnsi" w:cs="Calibri"/>
          <w:noProof/>
          <w:sz w:val="22"/>
          <w:lang w:val="nl-BE"/>
        </w:rPr>
        <w:t>n Mijnbouw 61, 159–162. https://doi.org/0016-7746/8216102-0159</w:t>
      </w:r>
    </w:p>
    <w:p w:rsidR="00D36141" w:rsidRPr="00D36141" w:rsidRDefault="00D36141" w:rsidP="00D36141">
      <w:pPr>
        <w:widowControl w:val="0"/>
        <w:autoSpaceDE w:val="0"/>
        <w:autoSpaceDN w:val="0"/>
        <w:adjustRightInd w:val="0"/>
        <w:spacing w:after="160" w:line="240" w:lineRule="auto"/>
        <w:ind w:left="480" w:hanging="480"/>
        <w:jc w:val="left"/>
        <w:rPr>
          <w:rFonts w:eastAsiaTheme="minorHAnsi" w:cs="Calibri"/>
          <w:noProof/>
          <w:sz w:val="22"/>
          <w:lang w:val="nl-BE"/>
        </w:rPr>
      </w:pPr>
      <w:r w:rsidRPr="00D36141">
        <w:rPr>
          <w:rFonts w:eastAsiaTheme="minorHAnsi" w:cs="Calibri"/>
          <w:noProof/>
          <w:sz w:val="22"/>
          <w:lang w:val="nl-BE"/>
        </w:rPr>
        <w:t>Denys, L., 1991. A check-list of the diatoms in the holocene deposits of the western Belgian coastal plain with a survey of their apparent ecological requirements, vol I. Introduction, ecological code and complete list. Prof. Pap. - Belgian Geol. Surv. 246, 1–41.</w:t>
      </w:r>
    </w:p>
    <w:p w:rsidR="00D36141" w:rsidRPr="00D36141" w:rsidRDefault="00D36141" w:rsidP="00D36141">
      <w:pPr>
        <w:widowControl w:val="0"/>
        <w:autoSpaceDE w:val="0"/>
        <w:autoSpaceDN w:val="0"/>
        <w:adjustRightInd w:val="0"/>
        <w:spacing w:after="160" w:line="240" w:lineRule="auto"/>
        <w:ind w:left="480" w:hanging="480"/>
        <w:jc w:val="left"/>
        <w:rPr>
          <w:rFonts w:eastAsiaTheme="minorHAnsi" w:cs="Calibri"/>
          <w:noProof/>
          <w:sz w:val="22"/>
          <w:lang w:val="nl-BE"/>
        </w:rPr>
      </w:pPr>
      <w:r w:rsidRPr="00D36141">
        <w:rPr>
          <w:rFonts w:eastAsiaTheme="minorHAnsi" w:cs="Calibri"/>
          <w:noProof/>
          <w:sz w:val="22"/>
        </w:rPr>
        <w:t xml:space="preserve">Stortelder, A.H.F., Hommel, P.W.F.M., de Waal, R.W., van Dort, K.W., Vrielink, J.G., Wolf, R.J.A.M., 1998. </w:t>
      </w:r>
      <w:r w:rsidRPr="00D36141">
        <w:rPr>
          <w:rFonts w:eastAsiaTheme="minorHAnsi" w:cs="Calibri"/>
          <w:noProof/>
          <w:sz w:val="22"/>
          <w:lang w:val="nl-BE"/>
        </w:rPr>
        <w:t>Broekbossen, Natuurhistorische bibliotheek. KNNV Uitgeverij, Utrecht.</w:t>
      </w:r>
    </w:p>
    <w:p w:rsidR="00D36141" w:rsidRPr="00D36141" w:rsidRDefault="00D36141" w:rsidP="00D36141">
      <w:pPr>
        <w:widowControl w:val="0"/>
        <w:autoSpaceDE w:val="0"/>
        <w:autoSpaceDN w:val="0"/>
        <w:adjustRightInd w:val="0"/>
        <w:spacing w:after="160" w:line="240" w:lineRule="auto"/>
        <w:ind w:left="480" w:hanging="480"/>
        <w:jc w:val="left"/>
        <w:rPr>
          <w:rFonts w:eastAsiaTheme="minorHAnsi" w:cs="Calibri"/>
          <w:noProof/>
          <w:sz w:val="22"/>
          <w:lang w:val="fr-BE"/>
        </w:rPr>
      </w:pPr>
      <w:r w:rsidRPr="00D36141">
        <w:rPr>
          <w:rFonts w:eastAsiaTheme="minorHAnsi" w:cs="Calibri"/>
          <w:noProof/>
          <w:sz w:val="22"/>
          <w:lang w:val="nl-BE"/>
        </w:rPr>
        <w:t xml:space="preserve">Van der Werff, A., 1958. </w:t>
      </w:r>
      <w:r w:rsidRPr="00D36141">
        <w:rPr>
          <w:rFonts w:eastAsiaTheme="minorHAnsi" w:cs="Calibri"/>
          <w:noProof/>
          <w:sz w:val="22"/>
          <w:lang w:val="fr-BE"/>
        </w:rPr>
        <w:t>L’importance de la recherche sur les diatomées pour la pal</w:t>
      </w:r>
      <w:r w:rsidRPr="00D36141">
        <w:rPr>
          <w:rFonts w:eastAsiaTheme="minorHAnsi" w:cs="Calibri"/>
          <w:noProof/>
          <w:sz w:val="22"/>
          <w:lang w:val="fr-BE"/>
        </w:rPr>
        <w:t>é</w:t>
      </w:r>
      <w:r w:rsidRPr="00D36141">
        <w:rPr>
          <w:rFonts w:eastAsiaTheme="minorHAnsi" w:cs="Calibri"/>
          <w:noProof/>
          <w:sz w:val="22"/>
          <w:lang w:val="fr-BE"/>
        </w:rPr>
        <w:t>obotanique. Bulletin de la société botanique Nord France 11, 94–97.</w:t>
      </w:r>
    </w:p>
    <w:p w:rsidR="00D36141" w:rsidRPr="00D36141" w:rsidRDefault="00D36141" w:rsidP="00E32B05">
      <w:pPr>
        <w:spacing w:after="120"/>
        <w:rPr>
          <w:b/>
          <w:bCs/>
          <w:i/>
          <w:lang w:val="fr-BE"/>
        </w:rPr>
      </w:pPr>
      <w:bookmarkStart w:id="1" w:name="_GoBack"/>
      <w:bookmarkEnd w:id="1"/>
    </w:p>
    <w:sectPr w:rsidR="00D36141" w:rsidRPr="00D361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B05"/>
    <w:rsid w:val="000F6F16"/>
    <w:rsid w:val="0019630B"/>
    <w:rsid w:val="002704C7"/>
    <w:rsid w:val="00592A2C"/>
    <w:rsid w:val="006D1D26"/>
    <w:rsid w:val="00717343"/>
    <w:rsid w:val="009749B6"/>
    <w:rsid w:val="009C2352"/>
    <w:rsid w:val="00D36141"/>
    <w:rsid w:val="00D5126E"/>
    <w:rsid w:val="00D9079B"/>
    <w:rsid w:val="00E01B66"/>
    <w:rsid w:val="00E32B05"/>
    <w:rsid w:val="00EB404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2C18"/>
  <w15:chartTrackingRefBased/>
  <w15:docId w15:val="{50B83B42-BC9F-4AF1-99C1-246EDD24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2B05"/>
    <w:pPr>
      <w:spacing w:after="200" w:line="276" w:lineRule="auto"/>
      <w:jc w:val="both"/>
    </w:pPr>
    <w:rPr>
      <w:rFonts w:ascii="Calibri" w:eastAsia="Calibri" w:hAnsi="Calibri" w:cs="Times New Roman"/>
      <w:sz w:val="24"/>
      <w:szCs w:val="24"/>
      <w:lang w:val="en-GB"/>
    </w:rPr>
  </w:style>
  <w:style w:type="paragraph" w:styleId="Kop3">
    <w:name w:val="heading 3"/>
    <w:basedOn w:val="Standaard"/>
    <w:next w:val="Standaard"/>
    <w:link w:val="Kop3Char"/>
    <w:uiPriority w:val="9"/>
    <w:semiHidden/>
    <w:unhideWhenUsed/>
    <w:qFormat/>
    <w:rsid w:val="00E32B05"/>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E32B05"/>
    <w:rPr>
      <w:rFonts w:asciiTheme="majorHAnsi" w:eastAsiaTheme="majorEastAsia" w:hAnsiTheme="majorHAnsi" w:cstheme="majorBidi"/>
      <w:color w:val="1F4D78" w:themeColor="accent1" w:themeShade="7F"/>
      <w:sz w:val="24"/>
      <w:szCs w:val="24"/>
      <w:lang w:val="en-GB"/>
    </w:rPr>
  </w:style>
  <w:style w:type="character" w:styleId="Titelvanboek">
    <w:name w:val="Book Title"/>
    <w:basedOn w:val="Standaardalinea-lettertype"/>
    <w:uiPriority w:val="33"/>
    <w:qFormat/>
    <w:rsid w:val="00E32B05"/>
    <w:rPr>
      <w:b/>
      <w:bCs/>
      <w:i/>
      <w:iCs/>
      <w:spacing w:val="5"/>
    </w:rPr>
  </w:style>
  <w:style w:type="paragraph" w:styleId="Ondertitel">
    <w:name w:val="Subtitle"/>
    <w:basedOn w:val="Standaard"/>
    <w:next w:val="Standaard"/>
    <w:link w:val="OndertitelChar"/>
    <w:uiPriority w:val="11"/>
    <w:qFormat/>
    <w:rsid w:val="00E32B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E32B05"/>
    <w:rPr>
      <w:rFonts w:eastAsiaTheme="minorEastAsia"/>
      <w:color w:val="5A5A5A" w:themeColor="text1" w:themeTint="A5"/>
      <w:spacing w:val="15"/>
      <w:lang w:val="en-GB"/>
    </w:rPr>
  </w:style>
  <w:style w:type="paragraph" w:styleId="Ballontekst">
    <w:name w:val="Balloon Text"/>
    <w:basedOn w:val="Standaard"/>
    <w:link w:val="BallontekstChar"/>
    <w:uiPriority w:val="99"/>
    <w:semiHidden/>
    <w:unhideWhenUsed/>
    <w:rsid w:val="0071734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7343"/>
    <w:rPr>
      <w:rFonts w:ascii="Segoe UI" w:eastAsia="Calibr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29587">
      <w:bodyDiv w:val="1"/>
      <w:marLeft w:val="0"/>
      <w:marRight w:val="0"/>
      <w:marTop w:val="0"/>
      <w:marBottom w:val="0"/>
      <w:divBdr>
        <w:top w:val="none" w:sz="0" w:space="0" w:color="auto"/>
        <w:left w:val="none" w:sz="0" w:space="0" w:color="auto"/>
        <w:bottom w:val="none" w:sz="0" w:space="0" w:color="auto"/>
        <w:right w:val="none" w:sz="0" w:space="0" w:color="auto"/>
      </w:divBdr>
    </w:div>
    <w:div w:id="156868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8BDB8-2620-4081-8ACF-16A48935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6</Pages>
  <Words>1292</Words>
  <Characters>7106</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Storme</dc:creator>
  <cp:keywords/>
  <dc:description/>
  <cp:lastModifiedBy>Annelies</cp:lastModifiedBy>
  <cp:revision>8</cp:revision>
  <dcterms:created xsi:type="dcterms:W3CDTF">2019-11-18T14:56:00Z</dcterms:created>
  <dcterms:modified xsi:type="dcterms:W3CDTF">2019-11-26T14:17:00Z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http://www.zotero.org/styles/acta-crystallographica-section-a-foundations-and-advances</vt:lpwstr>
  </property>
  <property fmtid="{D5CDD505-2E9C-101B-9397-08002B2CF9AE}" pid="3" name="Mendeley Recent Style Name 0_1">
    <vt:lpwstr>Acta Crystallographica Section A: Foundations and Advances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http://www.zotero.org/styles/palaeogeography-palaeoclimatology-palaeoecology</vt:lpwstr>
  </property>
  <property fmtid="{D5CDD505-2E9C-101B-9397-08002B2CF9AE}" pid="17" name="Mendeley Recent Style Name 7_1">
    <vt:lpwstr>Palaeogeography, Palaeoclimatology, Palaeoecology</vt:lpwstr>
  </property>
  <property fmtid="{D5CDD505-2E9C-101B-9397-08002B2CF9AE}" pid="18" name="Mendeley Recent Style Id 8_1">
    <vt:lpwstr>http://www.zotero.org/styles/vegetation-history-and-archaeobotany</vt:lpwstr>
  </property>
  <property fmtid="{D5CDD505-2E9C-101B-9397-08002B2CF9AE}" pid="19" name="Mendeley Recent Style Name 8_1">
    <vt:lpwstr>Vegetation History and Archaeobotany</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ies>
</file>