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0FCD" w14:textId="027B34A9" w:rsidR="00544262" w:rsidRPr="00D02D7F" w:rsidRDefault="00A80B80" w:rsidP="006C1F9D">
      <w:pPr>
        <w:spacing w:after="100" w:afterAutospacing="1" w:line="288" w:lineRule="auto"/>
        <w:rPr>
          <w:rFonts w:ascii="Arial" w:hAnsi="Arial" w:cs="Arial"/>
          <w:b/>
        </w:rPr>
      </w:pPr>
      <w:r w:rsidRPr="00D02D7F">
        <w:rPr>
          <w:rFonts w:ascii="Arial" w:hAnsi="Arial" w:cs="Arial"/>
          <w:b/>
          <w:i/>
        </w:rPr>
        <w:t>Concentrations of 7-aminoclonazepam</w:t>
      </w:r>
      <w:r w:rsidR="00F869F1">
        <w:rPr>
          <w:rFonts w:ascii="Arial" w:hAnsi="Arial" w:cs="Arial"/>
          <w:b/>
          <w:i/>
        </w:rPr>
        <w:t xml:space="preserve"> measured</w:t>
      </w:r>
      <w:r w:rsidRPr="00D02D7F">
        <w:rPr>
          <w:rFonts w:ascii="Arial" w:hAnsi="Arial" w:cs="Arial"/>
          <w:b/>
          <w:i/>
        </w:rPr>
        <w:t xml:space="preserve"> </w:t>
      </w:r>
      <w:r w:rsidR="00336C78" w:rsidRPr="00D02D7F">
        <w:rPr>
          <w:rFonts w:ascii="Arial" w:hAnsi="Arial" w:cs="Arial"/>
          <w:b/>
          <w:i/>
        </w:rPr>
        <w:t>by UPLC-MS/MS</w:t>
      </w:r>
      <w:r w:rsidR="00336C78">
        <w:rPr>
          <w:rFonts w:ascii="Arial" w:hAnsi="Arial" w:cs="Arial"/>
          <w:b/>
        </w:rPr>
        <w:t xml:space="preserve"> </w:t>
      </w:r>
      <w:r w:rsidRPr="00D02D7F">
        <w:rPr>
          <w:rFonts w:ascii="Arial" w:hAnsi="Arial" w:cs="Arial"/>
          <w:b/>
          <w:i/>
        </w:rPr>
        <w:t xml:space="preserve">in human urine after </w:t>
      </w:r>
      <w:r w:rsidR="007A0D83">
        <w:rPr>
          <w:rFonts w:ascii="Arial" w:hAnsi="Arial" w:cs="Arial"/>
          <w:b/>
          <w:i/>
        </w:rPr>
        <w:t>frozen storage</w:t>
      </w:r>
    </w:p>
    <w:p w14:paraId="101D260F" w14:textId="4687232C" w:rsidR="00D663AD" w:rsidRPr="00D02D7F" w:rsidRDefault="00D663AD" w:rsidP="00544262">
      <w:pPr>
        <w:spacing w:line="288" w:lineRule="auto"/>
        <w:rPr>
          <w:rFonts w:ascii="Arial" w:hAnsi="Arial" w:cs="Arial"/>
          <w:b/>
        </w:rPr>
      </w:pPr>
      <w:r w:rsidRPr="00D02D7F">
        <w:rPr>
          <w:rFonts w:ascii="Arial" w:hAnsi="Arial" w:cs="Arial"/>
          <w:b/>
        </w:rPr>
        <w:t>Authors</w:t>
      </w:r>
      <w:r w:rsidRPr="00D02D7F">
        <w:rPr>
          <w:rFonts w:ascii="Arial" w:hAnsi="Arial" w:cs="Arial"/>
        </w:rPr>
        <w:t>:</w:t>
      </w:r>
      <w:r w:rsidR="00A80B80" w:rsidRPr="00D02D7F">
        <w:rPr>
          <w:rFonts w:ascii="Arial" w:hAnsi="Arial" w:cs="Arial"/>
        </w:rPr>
        <w:t xml:space="preserve"> Jayme L. Dahlin</w:t>
      </w:r>
      <w:r w:rsidR="00A80B80" w:rsidRPr="00D02D7F">
        <w:rPr>
          <w:rFonts w:ascii="Arial" w:hAnsi="Arial" w:cs="Arial"/>
          <w:vertAlign w:val="superscript"/>
        </w:rPr>
        <w:t>1,2</w:t>
      </w:r>
      <w:r w:rsidR="00A80B80" w:rsidRPr="00D02D7F">
        <w:rPr>
          <w:rFonts w:ascii="Arial" w:hAnsi="Arial" w:cs="Arial"/>
        </w:rPr>
        <w:t>, Athena K. Petrides</w:t>
      </w:r>
      <w:r w:rsidR="00A80B80" w:rsidRPr="00D02D7F">
        <w:rPr>
          <w:rFonts w:ascii="Arial" w:hAnsi="Arial" w:cs="Arial"/>
          <w:vertAlign w:val="superscript"/>
        </w:rPr>
        <w:t>1,2</w:t>
      </w:r>
    </w:p>
    <w:p w14:paraId="2B73CBE8" w14:textId="1462473F" w:rsidR="00A80B80" w:rsidRPr="00D02D7F" w:rsidRDefault="00D663AD" w:rsidP="00A80B80">
      <w:pPr>
        <w:spacing w:line="240" w:lineRule="auto"/>
        <w:jc w:val="both"/>
        <w:outlineLvl w:val="0"/>
        <w:rPr>
          <w:rFonts w:ascii="Arial" w:hAnsi="Arial" w:cs="Arial"/>
        </w:rPr>
      </w:pPr>
      <w:r w:rsidRPr="00D02D7F">
        <w:rPr>
          <w:rFonts w:ascii="Arial" w:hAnsi="Arial" w:cs="Arial"/>
          <w:b/>
        </w:rPr>
        <w:t>Affiliations</w:t>
      </w:r>
      <w:r w:rsidRPr="00D02D7F">
        <w:rPr>
          <w:rFonts w:ascii="Arial" w:hAnsi="Arial" w:cs="Arial"/>
        </w:rPr>
        <w:t>:</w:t>
      </w:r>
      <w:r w:rsidR="00A80B80" w:rsidRPr="00D02D7F">
        <w:rPr>
          <w:rFonts w:ascii="Arial" w:hAnsi="Arial" w:cs="Arial"/>
        </w:rPr>
        <w:t xml:space="preserve"> </w:t>
      </w:r>
      <w:r w:rsidR="00A80B80" w:rsidRPr="00D02D7F">
        <w:rPr>
          <w:rFonts w:ascii="Arial" w:hAnsi="Arial" w:cs="Arial"/>
          <w:vertAlign w:val="superscript"/>
        </w:rPr>
        <w:t>1</w:t>
      </w:r>
      <w:r w:rsidR="00A80B80" w:rsidRPr="00D02D7F">
        <w:rPr>
          <w:rFonts w:ascii="Arial" w:hAnsi="Arial" w:cs="Arial"/>
        </w:rPr>
        <w:t xml:space="preserve"> Department of Pathology, Brigham and Women’s Hospital, Boston, MA, USA; </w:t>
      </w:r>
      <w:r w:rsidR="00A80B80" w:rsidRPr="00D02D7F">
        <w:rPr>
          <w:rFonts w:ascii="Arial" w:hAnsi="Arial" w:cs="Arial"/>
          <w:vertAlign w:val="superscript"/>
        </w:rPr>
        <w:t>2</w:t>
      </w:r>
      <w:r w:rsidR="00A80B80" w:rsidRPr="00D02D7F">
        <w:rPr>
          <w:rFonts w:ascii="Arial" w:hAnsi="Arial" w:cs="Arial"/>
        </w:rPr>
        <w:t xml:space="preserve"> Harvard Medical School, Boston, MA, USA</w:t>
      </w:r>
    </w:p>
    <w:p w14:paraId="2E6C8AE8" w14:textId="6439037B" w:rsidR="00423C82" w:rsidRPr="00D02D7F" w:rsidRDefault="00423C82" w:rsidP="00544262">
      <w:pPr>
        <w:spacing w:line="288" w:lineRule="auto"/>
        <w:rPr>
          <w:rFonts w:ascii="Arial" w:hAnsi="Arial" w:cs="Arial"/>
        </w:rPr>
      </w:pPr>
      <w:r w:rsidRPr="00D02D7F">
        <w:rPr>
          <w:rFonts w:ascii="Arial" w:hAnsi="Arial" w:cs="Arial"/>
          <w:b/>
        </w:rPr>
        <w:t>Contact email</w:t>
      </w:r>
      <w:r w:rsidRPr="00D02D7F">
        <w:rPr>
          <w:rFonts w:ascii="Arial" w:hAnsi="Arial" w:cs="Arial"/>
        </w:rPr>
        <w:t>:</w:t>
      </w:r>
      <w:r w:rsidR="00A80B80" w:rsidRPr="00D02D7F">
        <w:rPr>
          <w:rFonts w:ascii="Arial" w:hAnsi="Arial" w:cs="Arial"/>
        </w:rPr>
        <w:t xml:space="preserve"> Department of Pathology, Brigham and Women’s Hospital, Boston, MA, USA; (e) jdahlin@bwh.harvard.edu</w:t>
      </w:r>
    </w:p>
    <w:p w14:paraId="1519BEC6" w14:textId="77777777" w:rsidR="000B5AD2" w:rsidRPr="00D02D7F" w:rsidRDefault="000B5AD2" w:rsidP="000B5AD2">
      <w:pPr>
        <w:spacing w:after="0"/>
        <w:rPr>
          <w:rFonts w:ascii="Arial" w:hAnsi="Arial" w:cs="Arial"/>
        </w:rPr>
      </w:pPr>
    </w:p>
    <w:p w14:paraId="17B87944" w14:textId="77777777" w:rsidR="000B5AD2" w:rsidRPr="00D02D7F" w:rsidRDefault="000B5AD2" w:rsidP="000B5AD2">
      <w:pPr>
        <w:spacing w:after="0"/>
        <w:rPr>
          <w:rFonts w:ascii="Arial" w:hAnsi="Arial" w:cs="Arial"/>
          <w:b/>
        </w:rPr>
      </w:pPr>
      <w:r w:rsidRPr="00D02D7F">
        <w:rPr>
          <w:rFonts w:ascii="Arial" w:hAnsi="Arial" w:cs="Arial"/>
          <w:b/>
        </w:rPr>
        <w:t>Abstract</w:t>
      </w:r>
    </w:p>
    <w:p w14:paraId="6E7DEB4D" w14:textId="3717E7B0" w:rsidR="00046780" w:rsidRPr="00D02D7F" w:rsidRDefault="00046780" w:rsidP="00046780">
      <w:pPr>
        <w:spacing w:after="0"/>
        <w:jc w:val="both"/>
        <w:rPr>
          <w:rFonts w:ascii="Arial" w:hAnsi="Arial" w:cs="Arial"/>
        </w:rPr>
      </w:pPr>
      <w:r w:rsidRPr="00D02D7F">
        <w:rPr>
          <w:rFonts w:ascii="Arial" w:hAnsi="Arial" w:cs="Arial"/>
        </w:rPr>
        <w:t xml:space="preserve">7-aminoclonazepam is a metabolite of the benzodiazepine clonazepam, and is frequently </w:t>
      </w:r>
      <w:r w:rsidR="00896D04" w:rsidRPr="00D02D7F">
        <w:rPr>
          <w:rFonts w:ascii="Arial" w:hAnsi="Arial" w:cs="Arial"/>
        </w:rPr>
        <w:t>teste</w:t>
      </w:r>
      <w:r w:rsidR="00896D04">
        <w:rPr>
          <w:rFonts w:ascii="Arial" w:hAnsi="Arial" w:cs="Arial"/>
        </w:rPr>
        <w:t>d</w:t>
      </w:r>
      <w:r w:rsidRPr="00D02D7F">
        <w:rPr>
          <w:rFonts w:ascii="Arial" w:hAnsi="Arial" w:cs="Arial"/>
        </w:rPr>
        <w:t xml:space="preserve"> in toxicology and pain management settings. Characterizing the stability of analytes in clinical testing is essential to ensure accurate and precise results. This data article contains the processed data for 7-aminoclonazepam concentrations in human urine. The aim of the study is to characterize the stability of 7-aminoclonazepam in human urine under frozen storage conditions for use in clinical drug monitoring. Analyzing this data set can provide insights into 7-aminoclonazepam stability and provide a template for similar analyses with other analytes.</w:t>
      </w:r>
    </w:p>
    <w:p w14:paraId="6FF5908E" w14:textId="63832D08" w:rsidR="000B5AD2" w:rsidRPr="00D02D7F" w:rsidRDefault="00046780" w:rsidP="00046780">
      <w:pPr>
        <w:tabs>
          <w:tab w:val="left" w:pos="2140"/>
          <w:tab w:val="left" w:pos="8060"/>
        </w:tabs>
        <w:spacing w:after="0"/>
        <w:rPr>
          <w:rFonts w:ascii="Arial" w:hAnsi="Arial" w:cs="Arial"/>
        </w:rPr>
      </w:pPr>
      <w:r w:rsidRPr="00D02D7F">
        <w:rPr>
          <w:rFonts w:ascii="Arial" w:hAnsi="Arial" w:cs="Arial"/>
        </w:rPr>
        <w:tab/>
      </w:r>
      <w:r w:rsidRPr="00D02D7F">
        <w:rPr>
          <w:rFonts w:ascii="Arial" w:hAnsi="Arial" w:cs="Arial"/>
        </w:rPr>
        <w:tab/>
      </w:r>
    </w:p>
    <w:p w14:paraId="3AB77C5D" w14:textId="46182433" w:rsidR="000B5AD2" w:rsidRPr="00D02D7F" w:rsidRDefault="000B5AD2" w:rsidP="000B5AD2">
      <w:pPr>
        <w:spacing w:after="0"/>
        <w:rPr>
          <w:rFonts w:ascii="Arial" w:hAnsi="Arial" w:cs="Arial"/>
          <w:i/>
        </w:rPr>
      </w:pPr>
      <w:r w:rsidRPr="00D02D7F">
        <w:rPr>
          <w:rFonts w:ascii="Arial" w:hAnsi="Arial" w:cs="Arial"/>
          <w:b/>
        </w:rPr>
        <w:t xml:space="preserve">Specifications </w:t>
      </w:r>
      <w:r w:rsidR="00E3082B" w:rsidRPr="00D02D7F">
        <w:rPr>
          <w:rFonts w:ascii="Arial" w:hAnsi="Arial" w:cs="Arial"/>
          <w:b/>
        </w:rPr>
        <w:t>Table</w:t>
      </w:r>
    </w:p>
    <w:tbl>
      <w:tblPr>
        <w:tblStyle w:val="TableGrid"/>
        <w:tblW w:w="0" w:type="auto"/>
        <w:tblLook w:val="04A0" w:firstRow="1" w:lastRow="0" w:firstColumn="1" w:lastColumn="0" w:noHBand="0" w:noVBand="1"/>
      </w:tblPr>
      <w:tblGrid>
        <w:gridCol w:w="2628"/>
        <w:gridCol w:w="6948"/>
      </w:tblGrid>
      <w:tr w:rsidR="0020022B" w:rsidRPr="00D02D7F" w14:paraId="3502C239" w14:textId="77777777" w:rsidTr="000B5AD2">
        <w:tc>
          <w:tcPr>
            <w:tcW w:w="2628" w:type="dxa"/>
          </w:tcPr>
          <w:p w14:paraId="2C2AE177" w14:textId="77777777" w:rsidR="0020022B" w:rsidRPr="00D02D7F" w:rsidRDefault="0020022B" w:rsidP="000B5AD2">
            <w:pPr>
              <w:tabs>
                <w:tab w:val="left" w:pos="1290"/>
              </w:tabs>
              <w:rPr>
                <w:rFonts w:ascii="Arial" w:hAnsi="Arial" w:cs="Arial"/>
              </w:rPr>
            </w:pPr>
            <w:r w:rsidRPr="00D02D7F">
              <w:rPr>
                <w:rFonts w:ascii="Arial" w:hAnsi="Arial" w:cs="Arial"/>
              </w:rPr>
              <w:t>Subject area</w:t>
            </w:r>
          </w:p>
        </w:tc>
        <w:tc>
          <w:tcPr>
            <w:tcW w:w="6948" w:type="dxa"/>
          </w:tcPr>
          <w:p w14:paraId="0418585E" w14:textId="35C5BAEE" w:rsidR="0020022B" w:rsidRPr="00D02D7F" w:rsidRDefault="008F63FB">
            <w:pPr>
              <w:rPr>
                <w:rFonts w:ascii="Arial" w:hAnsi="Arial" w:cs="Arial"/>
                <w:i/>
              </w:rPr>
            </w:pPr>
            <w:r w:rsidRPr="00D02D7F">
              <w:rPr>
                <w:rFonts w:ascii="Arial" w:hAnsi="Arial" w:cs="Arial"/>
                <w:i/>
              </w:rPr>
              <w:t>Medicine</w:t>
            </w:r>
          </w:p>
        </w:tc>
      </w:tr>
      <w:tr w:rsidR="0020022B" w:rsidRPr="00D02D7F" w14:paraId="37C28559" w14:textId="77777777" w:rsidTr="000B5AD2">
        <w:tc>
          <w:tcPr>
            <w:tcW w:w="2628" w:type="dxa"/>
          </w:tcPr>
          <w:p w14:paraId="45E1E7C3" w14:textId="77777777" w:rsidR="0020022B" w:rsidRPr="00D02D7F" w:rsidRDefault="0020022B" w:rsidP="000B5AD2">
            <w:pPr>
              <w:tabs>
                <w:tab w:val="left" w:pos="1290"/>
              </w:tabs>
              <w:rPr>
                <w:rFonts w:ascii="Arial" w:hAnsi="Arial" w:cs="Arial"/>
              </w:rPr>
            </w:pPr>
            <w:r w:rsidRPr="00D02D7F">
              <w:rPr>
                <w:rFonts w:ascii="Arial" w:hAnsi="Arial" w:cs="Arial"/>
              </w:rPr>
              <w:t>More specific subject area</w:t>
            </w:r>
          </w:p>
        </w:tc>
        <w:tc>
          <w:tcPr>
            <w:tcW w:w="6948" w:type="dxa"/>
          </w:tcPr>
          <w:p w14:paraId="068502A1" w14:textId="71A587D3" w:rsidR="0020022B" w:rsidRPr="00D02D7F" w:rsidRDefault="008F63FB" w:rsidP="00CD54F9">
            <w:pPr>
              <w:jc w:val="both"/>
              <w:rPr>
                <w:rFonts w:ascii="Arial" w:hAnsi="Arial" w:cs="Arial"/>
                <w:i/>
              </w:rPr>
            </w:pPr>
            <w:r w:rsidRPr="00D02D7F">
              <w:rPr>
                <w:rFonts w:ascii="Arial" w:hAnsi="Arial" w:cs="Arial"/>
                <w:i/>
              </w:rPr>
              <w:t>Therapeutic drug monitoring</w:t>
            </w:r>
          </w:p>
        </w:tc>
      </w:tr>
      <w:tr w:rsidR="000B5AD2" w:rsidRPr="00D02D7F" w14:paraId="072FF21C" w14:textId="77777777" w:rsidTr="000B5AD2">
        <w:tc>
          <w:tcPr>
            <w:tcW w:w="2628" w:type="dxa"/>
          </w:tcPr>
          <w:p w14:paraId="3C827D46" w14:textId="77777777" w:rsidR="000B5AD2" w:rsidRPr="00D02D7F" w:rsidRDefault="0020022B" w:rsidP="000B5AD2">
            <w:pPr>
              <w:tabs>
                <w:tab w:val="left" w:pos="1290"/>
              </w:tabs>
              <w:rPr>
                <w:rFonts w:ascii="Arial" w:hAnsi="Arial" w:cs="Arial"/>
              </w:rPr>
            </w:pPr>
            <w:r w:rsidRPr="00D02D7F">
              <w:rPr>
                <w:rFonts w:ascii="Arial" w:hAnsi="Arial" w:cs="Arial"/>
              </w:rPr>
              <w:t>Type of data</w:t>
            </w:r>
          </w:p>
        </w:tc>
        <w:tc>
          <w:tcPr>
            <w:tcW w:w="6948" w:type="dxa"/>
          </w:tcPr>
          <w:p w14:paraId="750CCD61" w14:textId="2E01C5EA" w:rsidR="000B5AD2" w:rsidRPr="00D02D7F" w:rsidRDefault="008F63FB" w:rsidP="00CD54F9">
            <w:pPr>
              <w:jc w:val="both"/>
              <w:rPr>
                <w:rFonts w:ascii="Arial" w:hAnsi="Arial" w:cs="Arial"/>
                <w:i/>
              </w:rPr>
            </w:pPr>
            <w:proofErr w:type="spellStart"/>
            <w:r w:rsidRPr="00D02D7F">
              <w:rPr>
                <w:rFonts w:ascii="Arial" w:hAnsi="Arial" w:cs="Arial"/>
                <w:i/>
              </w:rPr>
              <w:t>GraphPad</w:t>
            </w:r>
            <w:proofErr w:type="spellEnd"/>
            <w:r w:rsidR="008F38F8" w:rsidRPr="00D02D7F">
              <w:rPr>
                <w:rFonts w:ascii="Arial" w:hAnsi="Arial" w:cs="Arial"/>
                <w:i/>
              </w:rPr>
              <w:t xml:space="preserve"> Prism</w:t>
            </w:r>
            <w:r w:rsidRPr="00D02D7F">
              <w:rPr>
                <w:rFonts w:ascii="Arial" w:hAnsi="Arial" w:cs="Arial"/>
                <w:i/>
              </w:rPr>
              <w:t xml:space="preserve"> file</w:t>
            </w:r>
            <w:r w:rsidR="008F38F8" w:rsidRPr="00D02D7F">
              <w:rPr>
                <w:rFonts w:ascii="Arial" w:hAnsi="Arial" w:cs="Arial"/>
                <w:i/>
              </w:rPr>
              <w:t>; Data tables (Excel)</w:t>
            </w:r>
          </w:p>
        </w:tc>
      </w:tr>
      <w:tr w:rsidR="000B5AD2" w:rsidRPr="00D02D7F" w14:paraId="6A72AD7E" w14:textId="77777777" w:rsidTr="000B5AD2">
        <w:tc>
          <w:tcPr>
            <w:tcW w:w="2628" w:type="dxa"/>
          </w:tcPr>
          <w:p w14:paraId="5567D6FD" w14:textId="77777777" w:rsidR="000B5AD2" w:rsidRPr="00D02D7F" w:rsidRDefault="0020022B" w:rsidP="000B5AD2">
            <w:pPr>
              <w:rPr>
                <w:rFonts w:ascii="Arial" w:hAnsi="Arial" w:cs="Arial"/>
              </w:rPr>
            </w:pPr>
            <w:r w:rsidRPr="00D02D7F">
              <w:rPr>
                <w:rFonts w:ascii="Arial" w:hAnsi="Arial" w:cs="Arial"/>
              </w:rPr>
              <w:t>How data was acquired</w:t>
            </w:r>
          </w:p>
        </w:tc>
        <w:tc>
          <w:tcPr>
            <w:tcW w:w="6948" w:type="dxa"/>
          </w:tcPr>
          <w:p w14:paraId="0BAF984E" w14:textId="7C1DA9B5" w:rsidR="000B5AD2" w:rsidRPr="00D02D7F" w:rsidRDefault="0098020C" w:rsidP="00CD54F9">
            <w:pPr>
              <w:jc w:val="both"/>
              <w:rPr>
                <w:rFonts w:ascii="Arial" w:hAnsi="Arial" w:cs="Arial"/>
                <w:i/>
              </w:rPr>
            </w:pPr>
            <w:r w:rsidRPr="00D02D7F">
              <w:rPr>
                <w:rFonts w:ascii="Arial" w:hAnsi="Arial" w:cs="Arial"/>
                <w:i/>
              </w:rPr>
              <w:t>UPLC-MS/MS (Waters</w:t>
            </w:r>
            <w:r w:rsidR="00B4348E">
              <w:rPr>
                <w:rFonts w:ascii="Arial" w:hAnsi="Arial" w:cs="Arial"/>
                <w:i/>
              </w:rPr>
              <w:t xml:space="preserve"> system</w:t>
            </w:r>
            <w:r w:rsidRPr="00D02D7F">
              <w:rPr>
                <w:rFonts w:ascii="Arial" w:hAnsi="Arial" w:cs="Arial"/>
                <w:i/>
              </w:rPr>
              <w:t>)</w:t>
            </w:r>
          </w:p>
        </w:tc>
      </w:tr>
      <w:tr w:rsidR="000B5AD2" w:rsidRPr="00D02D7F" w14:paraId="2AEEB684" w14:textId="77777777" w:rsidTr="000B5AD2">
        <w:tc>
          <w:tcPr>
            <w:tcW w:w="2628" w:type="dxa"/>
          </w:tcPr>
          <w:p w14:paraId="4C76ADB7" w14:textId="77777777" w:rsidR="000B5AD2" w:rsidRPr="00D02D7F" w:rsidRDefault="000B5AD2" w:rsidP="000B5AD2">
            <w:pPr>
              <w:rPr>
                <w:rFonts w:ascii="Arial" w:hAnsi="Arial" w:cs="Arial"/>
              </w:rPr>
            </w:pPr>
            <w:r w:rsidRPr="00D02D7F">
              <w:rPr>
                <w:rFonts w:ascii="Arial" w:hAnsi="Arial" w:cs="Arial"/>
              </w:rPr>
              <w:t>Data format</w:t>
            </w:r>
          </w:p>
        </w:tc>
        <w:tc>
          <w:tcPr>
            <w:tcW w:w="6948" w:type="dxa"/>
          </w:tcPr>
          <w:p w14:paraId="7FF31161" w14:textId="2DA30355" w:rsidR="00724671" w:rsidRPr="00D02D7F" w:rsidRDefault="0098020C" w:rsidP="00CD54F9">
            <w:pPr>
              <w:tabs>
                <w:tab w:val="center" w:pos="3366"/>
              </w:tabs>
              <w:jc w:val="both"/>
              <w:rPr>
                <w:rFonts w:ascii="Arial" w:hAnsi="Arial" w:cs="Arial"/>
                <w:i/>
              </w:rPr>
            </w:pPr>
            <w:r w:rsidRPr="00D02D7F">
              <w:rPr>
                <w:rFonts w:ascii="Arial" w:hAnsi="Arial" w:cs="Arial"/>
                <w:i/>
              </w:rPr>
              <w:t>Analyzed</w:t>
            </w:r>
            <w:r w:rsidRPr="00D02D7F">
              <w:rPr>
                <w:rFonts w:ascii="Arial" w:hAnsi="Arial" w:cs="Arial"/>
                <w:i/>
              </w:rPr>
              <w:tab/>
            </w:r>
          </w:p>
        </w:tc>
      </w:tr>
      <w:tr w:rsidR="000B5AD2" w:rsidRPr="00D02D7F" w14:paraId="59CE6402" w14:textId="77777777" w:rsidTr="000B5AD2">
        <w:tc>
          <w:tcPr>
            <w:tcW w:w="2628" w:type="dxa"/>
          </w:tcPr>
          <w:p w14:paraId="22DCBE98" w14:textId="77777777" w:rsidR="000B5AD2" w:rsidRPr="00D02D7F" w:rsidRDefault="00724671" w:rsidP="000B5AD2">
            <w:pPr>
              <w:tabs>
                <w:tab w:val="left" w:pos="1290"/>
              </w:tabs>
              <w:rPr>
                <w:rFonts w:ascii="Arial" w:hAnsi="Arial" w:cs="Arial"/>
              </w:rPr>
            </w:pPr>
            <w:r w:rsidRPr="00D02D7F">
              <w:rPr>
                <w:rFonts w:ascii="Arial" w:hAnsi="Arial" w:cs="Arial"/>
              </w:rPr>
              <w:t>Experimental factors</w:t>
            </w:r>
          </w:p>
        </w:tc>
        <w:tc>
          <w:tcPr>
            <w:tcW w:w="6948" w:type="dxa"/>
          </w:tcPr>
          <w:p w14:paraId="0988A27E" w14:textId="581D1682" w:rsidR="000B5AD2" w:rsidRPr="00D02D7F" w:rsidRDefault="0091757E" w:rsidP="00CD54F9">
            <w:pPr>
              <w:jc w:val="both"/>
              <w:rPr>
                <w:rFonts w:ascii="Arial" w:hAnsi="Arial" w:cs="Arial"/>
                <w:i/>
              </w:rPr>
            </w:pPr>
            <w:r w:rsidRPr="00D02D7F">
              <w:rPr>
                <w:rFonts w:ascii="Arial" w:hAnsi="Arial" w:cs="Arial"/>
                <w:i/>
              </w:rPr>
              <w:t>Drug-free urine spiked with 7-aminoclonazepam calibrator</w:t>
            </w:r>
          </w:p>
        </w:tc>
      </w:tr>
      <w:tr w:rsidR="00724671" w:rsidRPr="00D02D7F" w14:paraId="21286970" w14:textId="77777777" w:rsidTr="000B5AD2">
        <w:tc>
          <w:tcPr>
            <w:tcW w:w="2628" w:type="dxa"/>
          </w:tcPr>
          <w:p w14:paraId="5DDF8F52" w14:textId="77777777" w:rsidR="00724671" w:rsidRPr="00D02D7F" w:rsidRDefault="008D74C3" w:rsidP="009641B4">
            <w:pPr>
              <w:tabs>
                <w:tab w:val="left" w:pos="1290"/>
              </w:tabs>
              <w:rPr>
                <w:rFonts w:ascii="Arial" w:hAnsi="Arial" w:cs="Arial"/>
              </w:rPr>
            </w:pPr>
            <w:r w:rsidRPr="00D02D7F">
              <w:rPr>
                <w:rFonts w:ascii="Arial" w:hAnsi="Arial" w:cs="Arial"/>
              </w:rPr>
              <w:t>Experimental features</w:t>
            </w:r>
          </w:p>
        </w:tc>
        <w:tc>
          <w:tcPr>
            <w:tcW w:w="6948" w:type="dxa"/>
          </w:tcPr>
          <w:p w14:paraId="648A1A86" w14:textId="09720A26" w:rsidR="00724671" w:rsidRPr="00D02D7F" w:rsidRDefault="00557E5E" w:rsidP="00CD54F9">
            <w:pPr>
              <w:jc w:val="both"/>
              <w:rPr>
                <w:rFonts w:ascii="Arial" w:hAnsi="Arial" w:cs="Arial"/>
                <w:i/>
              </w:rPr>
            </w:pPr>
            <w:r w:rsidRPr="00D02D7F">
              <w:rPr>
                <w:rFonts w:ascii="Arial" w:hAnsi="Arial" w:cs="Arial"/>
                <w:i/>
              </w:rPr>
              <w:t xml:space="preserve">Concentrations of 7-aminoclonazepam in human urine from (1) </w:t>
            </w:r>
            <w:r w:rsidR="002B0F97" w:rsidRPr="00D02D7F">
              <w:rPr>
                <w:rFonts w:ascii="Arial" w:hAnsi="Arial" w:cs="Arial"/>
                <w:i/>
              </w:rPr>
              <w:t xml:space="preserve">samples prepared from </w:t>
            </w:r>
            <w:r w:rsidRPr="00D02D7F">
              <w:rPr>
                <w:rFonts w:ascii="Arial" w:hAnsi="Arial" w:cs="Arial"/>
                <w:i/>
              </w:rPr>
              <w:t>calibrators frozen or refrigerated</w:t>
            </w:r>
            <w:r w:rsidR="002B0F97" w:rsidRPr="00D02D7F">
              <w:rPr>
                <w:rFonts w:ascii="Arial" w:hAnsi="Arial" w:cs="Arial"/>
                <w:i/>
              </w:rPr>
              <w:t xml:space="preserve"> </w:t>
            </w:r>
            <w:r w:rsidR="00CC1BFB" w:rsidRPr="00D02D7F">
              <w:rPr>
                <w:rFonts w:ascii="Arial" w:hAnsi="Arial" w:cs="Arial"/>
                <w:i/>
              </w:rPr>
              <w:t>then</w:t>
            </w:r>
            <w:r w:rsidR="002B0F97" w:rsidRPr="00D02D7F">
              <w:rPr>
                <w:rFonts w:ascii="Arial" w:hAnsi="Arial" w:cs="Arial"/>
                <w:i/>
              </w:rPr>
              <w:t xml:space="preserve"> </w:t>
            </w:r>
            <w:r w:rsidR="00F633E6" w:rsidRPr="00D02D7F">
              <w:rPr>
                <w:rFonts w:ascii="Arial" w:hAnsi="Arial" w:cs="Arial"/>
                <w:i/>
              </w:rPr>
              <w:t>compared with reference laboratory</w:t>
            </w:r>
            <w:r w:rsidR="008029A9" w:rsidRPr="00D02D7F">
              <w:rPr>
                <w:rFonts w:ascii="Arial" w:hAnsi="Arial" w:cs="Arial"/>
                <w:i/>
              </w:rPr>
              <w:t xml:space="preserve"> method</w:t>
            </w:r>
            <w:r w:rsidRPr="00D02D7F">
              <w:rPr>
                <w:rFonts w:ascii="Arial" w:hAnsi="Arial" w:cs="Arial"/>
                <w:i/>
              </w:rPr>
              <w:t xml:space="preserve">, </w:t>
            </w:r>
            <w:r w:rsidR="00102512" w:rsidRPr="00D02D7F">
              <w:rPr>
                <w:rFonts w:ascii="Arial" w:hAnsi="Arial" w:cs="Arial"/>
                <w:i/>
              </w:rPr>
              <w:t xml:space="preserve">and </w:t>
            </w:r>
            <w:r w:rsidRPr="00D02D7F">
              <w:rPr>
                <w:rFonts w:ascii="Arial" w:hAnsi="Arial" w:cs="Arial"/>
                <w:i/>
              </w:rPr>
              <w:t>(2) samples</w:t>
            </w:r>
            <w:r w:rsidR="00F633E6" w:rsidRPr="00D02D7F">
              <w:rPr>
                <w:rFonts w:ascii="Arial" w:hAnsi="Arial" w:cs="Arial"/>
                <w:i/>
              </w:rPr>
              <w:t xml:space="preserve"> spiked with refrigerated calibrators</w:t>
            </w:r>
            <w:r w:rsidRPr="00D02D7F">
              <w:rPr>
                <w:rFonts w:ascii="Arial" w:hAnsi="Arial" w:cs="Arial"/>
                <w:i/>
              </w:rPr>
              <w:t xml:space="preserve"> prepared freshly or frozen for </w:t>
            </w:r>
            <w:r w:rsidR="00B25A92" w:rsidRPr="00D02D7F">
              <w:rPr>
                <w:rFonts w:ascii="Arial" w:hAnsi="Arial" w:cs="Arial"/>
                <w:i/>
              </w:rPr>
              <w:t>three</w:t>
            </w:r>
            <w:r w:rsidRPr="00D02D7F">
              <w:rPr>
                <w:rFonts w:ascii="Arial" w:hAnsi="Arial" w:cs="Arial"/>
                <w:i/>
              </w:rPr>
              <w:t xml:space="preserve"> months</w:t>
            </w:r>
          </w:p>
        </w:tc>
      </w:tr>
      <w:tr w:rsidR="008D74C3" w:rsidRPr="00D02D7F" w14:paraId="59774E53" w14:textId="77777777" w:rsidTr="000B5AD2">
        <w:tc>
          <w:tcPr>
            <w:tcW w:w="2628" w:type="dxa"/>
          </w:tcPr>
          <w:p w14:paraId="2661B09A" w14:textId="77777777" w:rsidR="008D74C3" w:rsidRPr="00D02D7F" w:rsidRDefault="0020022B" w:rsidP="000B5AD2">
            <w:pPr>
              <w:rPr>
                <w:rFonts w:ascii="Arial" w:hAnsi="Arial" w:cs="Arial"/>
              </w:rPr>
            </w:pPr>
            <w:r w:rsidRPr="00D02D7F">
              <w:rPr>
                <w:rFonts w:ascii="Arial" w:hAnsi="Arial" w:cs="Arial"/>
              </w:rPr>
              <w:t>Data</w:t>
            </w:r>
            <w:r w:rsidR="00852492" w:rsidRPr="00D02D7F">
              <w:rPr>
                <w:rFonts w:ascii="Arial" w:hAnsi="Arial" w:cs="Arial"/>
              </w:rPr>
              <w:t xml:space="preserve"> source location</w:t>
            </w:r>
          </w:p>
        </w:tc>
        <w:tc>
          <w:tcPr>
            <w:tcW w:w="6948" w:type="dxa"/>
          </w:tcPr>
          <w:p w14:paraId="0CC0BF4B" w14:textId="58E611FA" w:rsidR="008D74C3" w:rsidRPr="00D02D7F" w:rsidRDefault="00D437E2" w:rsidP="00CD54F9">
            <w:pPr>
              <w:jc w:val="both"/>
              <w:rPr>
                <w:rFonts w:ascii="Arial" w:hAnsi="Arial" w:cs="Arial"/>
                <w:i/>
              </w:rPr>
            </w:pPr>
            <w:r w:rsidRPr="00D02D7F">
              <w:rPr>
                <w:rFonts w:ascii="Arial" w:hAnsi="Arial" w:cs="Arial"/>
                <w:i/>
              </w:rPr>
              <w:t>Boston, MA, USA</w:t>
            </w:r>
          </w:p>
        </w:tc>
      </w:tr>
      <w:tr w:rsidR="00F3068C" w:rsidRPr="00D02D7F" w14:paraId="0EEED79E" w14:textId="77777777" w:rsidTr="000B5AD2">
        <w:tc>
          <w:tcPr>
            <w:tcW w:w="2628" w:type="dxa"/>
          </w:tcPr>
          <w:p w14:paraId="5104BB31" w14:textId="77777777" w:rsidR="00F3068C" w:rsidRPr="00D02D7F" w:rsidRDefault="00F3068C" w:rsidP="000B5AD2">
            <w:pPr>
              <w:rPr>
                <w:rFonts w:ascii="Arial" w:hAnsi="Arial" w:cs="Arial"/>
              </w:rPr>
            </w:pPr>
            <w:r w:rsidRPr="00D02D7F">
              <w:rPr>
                <w:rFonts w:ascii="Arial" w:hAnsi="Arial" w:cs="Arial"/>
              </w:rPr>
              <w:t>Data accessibility</w:t>
            </w:r>
          </w:p>
        </w:tc>
        <w:tc>
          <w:tcPr>
            <w:tcW w:w="6948" w:type="dxa"/>
          </w:tcPr>
          <w:p w14:paraId="3D8E1600" w14:textId="626A3BD8" w:rsidR="00F3068C" w:rsidRPr="00D02D7F" w:rsidRDefault="00D437E2" w:rsidP="00CD54F9">
            <w:pPr>
              <w:jc w:val="both"/>
              <w:rPr>
                <w:rFonts w:ascii="Arial" w:hAnsi="Arial" w:cs="Arial"/>
                <w:i/>
              </w:rPr>
            </w:pPr>
            <w:r w:rsidRPr="00D02D7F">
              <w:rPr>
                <w:rFonts w:ascii="Arial" w:hAnsi="Arial" w:cs="Arial"/>
                <w:i/>
              </w:rPr>
              <w:t>All data are included herein</w:t>
            </w:r>
          </w:p>
        </w:tc>
      </w:tr>
      <w:tr w:rsidR="00CB38DE" w:rsidRPr="00D02D7F" w14:paraId="64AD3FDC" w14:textId="77777777" w:rsidTr="000B5AD2">
        <w:tc>
          <w:tcPr>
            <w:tcW w:w="2628" w:type="dxa"/>
          </w:tcPr>
          <w:p w14:paraId="7BD28529" w14:textId="77777777" w:rsidR="00CB38DE" w:rsidRPr="00D02D7F" w:rsidRDefault="00CB38DE" w:rsidP="000B5AD2">
            <w:pPr>
              <w:rPr>
                <w:rFonts w:ascii="Arial" w:hAnsi="Arial" w:cs="Arial"/>
              </w:rPr>
            </w:pPr>
            <w:r w:rsidRPr="00D02D7F">
              <w:rPr>
                <w:rFonts w:ascii="Arial" w:hAnsi="Arial" w:cs="Arial"/>
              </w:rPr>
              <w:t>Related research article</w:t>
            </w:r>
          </w:p>
        </w:tc>
        <w:tc>
          <w:tcPr>
            <w:tcW w:w="6948" w:type="dxa"/>
          </w:tcPr>
          <w:p w14:paraId="29C77A58" w14:textId="76E6CA24" w:rsidR="00CB38DE" w:rsidRPr="00D02D7F" w:rsidRDefault="00AC6D08" w:rsidP="00CD54F9">
            <w:pPr>
              <w:jc w:val="both"/>
              <w:rPr>
                <w:rFonts w:ascii="Arial" w:hAnsi="Arial" w:cs="Arial"/>
                <w:i/>
              </w:rPr>
            </w:pPr>
            <w:r w:rsidRPr="00D02D7F">
              <w:rPr>
                <w:rFonts w:ascii="Arial" w:hAnsi="Arial" w:cs="Arial"/>
                <w:i/>
              </w:rPr>
              <w:t>Dahlin, JL, Petrides, AK. Instability of 7-aminoclonazepam in frozen storage conditions. Clinical Mass Spectrometry (</w:t>
            </w:r>
            <w:r w:rsidR="00CB38DE" w:rsidRPr="00D02D7F">
              <w:rPr>
                <w:rFonts w:ascii="Arial" w:hAnsi="Arial" w:cs="Arial"/>
                <w:i/>
              </w:rPr>
              <w:t>in press</w:t>
            </w:r>
            <w:r w:rsidRPr="00D02D7F">
              <w:rPr>
                <w:rFonts w:ascii="Arial" w:hAnsi="Arial" w:cs="Arial"/>
                <w:i/>
              </w:rPr>
              <w:t>)</w:t>
            </w:r>
          </w:p>
        </w:tc>
      </w:tr>
    </w:tbl>
    <w:p w14:paraId="6577B61C" w14:textId="77777777" w:rsidR="000B5AD2" w:rsidRPr="00D02D7F" w:rsidRDefault="000B5AD2" w:rsidP="000B5AD2">
      <w:pPr>
        <w:spacing w:after="0"/>
        <w:rPr>
          <w:rFonts w:ascii="Arial" w:hAnsi="Arial" w:cs="Arial"/>
        </w:rPr>
      </w:pPr>
    </w:p>
    <w:p w14:paraId="011D7091" w14:textId="77777777" w:rsidR="0012767D" w:rsidRDefault="009437F0" w:rsidP="0012767D">
      <w:pPr>
        <w:spacing w:after="0"/>
        <w:rPr>
          <w:rFonts w:ascii="Arial" w:hAnsi="Arial" w:cs="Arial"/>
          <w:b/>
        </w:rPr>
      </w:pPr>
      <w:r w:rsidRPr="00D02D7F">
        <w:rPr>
          <w:rFonts w:ascii="Arial" w:hAnsi="Arial" w:cs="Arial"/>
          <w:b/>
        </w:rPr>
        <w:t xml:space="preserve">Value of the </w:t>
      </w:r>
      <w:r w:rsidR="004D3E42" w:rsidRPr="00D02D7F">
        <w:rPr>
          <w:rFonts w:ascii="Arial" w:hAnsi="Arial" w:cs="Arial"/>
          <w:b/>
        </w:rPr>
        <w:t>D</w:t>
      </w:r>
      <w:r w:rsidRPr="00D02D7F">
        <w:rPr>
          <w:rFonts w:ascii="Arial" w:hAnsi="Arial" w:cs="Arial"/>
          <w:b/>
        </w:rPr>
        <w:t>ata</w:t>
      </w:r>
    </w:p>
    <w:p w14:paraId="51FB5CF7" w14:textId="77777777" w:rsidR="0012767D" w:rsidRPr="0012767D" w:rsidRDefault="008029A9" w:rsidP="00FC6770">
      <w:pPr>
        <w:pStyle w:val="ListParagraph"/>
        <w:numPr>
          <w:ilvl w:val="0"/>
          <w:numId w:val="3"/>
        </w:numPr>
        <w:spacing w:after="0"/>
        <w:jc w:val="both"/>
        <w:rPr>
          <w:rFonts w:ascii="Arial" w:hAnsi="Arial" w:cs="Arial"/>
          <w:b/>
        </w:rPr>
      </w:pPr>
      <w:r w:rsidRPr="0012767D">
        <w:rPr>
          <w:rFonts w:ascii="Arial" w:hAnsi="Arial" w:cs="Arial"/>
        </w:rPr>
        <w:t>The data provide insight the stability of 7-aminoclonazepam when stored in frozen conditions.</w:t>
      </w:r>
    </w:p>
    <w:p w14:paraId="34BB72E4" w14:textId="77777777" w:rsidR="0012767D" w:rsidRPr="0012767D" w:rsidRDefault="008029A9" w:rsidP="00FC6770">
      <w:pPr>
        <w:pStyle w:val="ListParagraph"/>
        <w:numPr>
          <w:ilvl w:val="0"/>
          <w:numId w:val="3"/>
        </w:numPr>
        <w:spacing w:after="0"/>
        <w:jc w:val="both"/>
        <w:rPr>
          <w:rFonts w:ascii="Arial" w:hAnsi="Arial" w:cs="Arial"/>
          <w:b/>
        </w:rPr>
      </w:pPr>
      <w:r w:rsidRPr="0012767D">
        <w:rPr>
          <w:rFonts w:ascii="Arial" w:hAnsi="Arial" w:cs="Arial"/>
        </w:rPr>
        <w:t xml:space="preserve">The data is useful in the following areas: </w:t>
      </w:r>
      <w:r w:rsidR="00CC1BFB" w:rsidRPr="0012767D">
        <w:rPr>
          <w:rFonts w:ascii="Arial" w:hAnsi="Arial" w:cs="Arial"/>
        </w:rPr>
        <w:t>clinical chemistry, therapeutic drug monitoring, assay development and validation.</w:t>
      </w:r>
    </w:p>
    <w:p w14:paraId="32D2BF0F" w14:textId="16335CFD" w:rsidR="009437F0" w:rsidRPr="00F13614" w:rsidRDefault="00CC1BFB" w:rsidP="00FC6770">
      <w:pPr>
        <w:pStyle w:val="ListParagraph"/>
        <w:numPr>
          <w:ilvl w:val="0"/>
          <w:numId w:val="3"/>
        </w:numPr>
        <w:spacing w:after="0"/>
        <w:jc w:val="both"/>
        <w:rPr>
          <w:rFonts w:ascii="Arial" w:hAnsi="Arial" w:cs="Arial"/>
          <w:b/>
        </w:rPr>
      </w:pPr>
      <w:r w:rsidRPr="0012767D">
        <w:rPr>
          <w:rFonts w:ascii="Arial" w:hAnsi="Arial" w:cs="Arial"/>
        </w:rPr>
        <w:t xml:space="preserve">The formatted data </w:t>
      </w:r>
      <w:r w:rsidR="008029A9" w:rsidRPr="0012767D">
        <w:rPr>
          <w:rFonts w:ascii="Arial" w:hAnsi="Arial" w:cs="Arial"/>
        </w:rPr>
        <w:t xml:space="preserve">can </w:t>
      </w:r>
      <w:r w:rsidRPr="0012767D">
        <w:rPr>
          <w:rFonts w:ascii="Arial" w:hAnsi="Arial" w:cs="Arial"/>
        </w:rPr>
        <w:t>be applied to other analytes.</w:t>
      </w:r>
    </w:p>
    <w:p w14:paraId="4B9FF61C" w14:textId="77777777" w:rsidR="00F13614" w:rsidRPr="0012767D" w:rsidRDefault="00F13614" w:rsidP="00F13614">
      <w:pPr>
        <w:pStyle w:val="ListParagraph"/>
        <w:spacing w:after="0"/>
        <w:ind w:left="360"/>
        <w:jc w:val="both"/>
        <w:rPr>
          <w:rFonts w:ascii="Arial" w:hAnsi="Arial" w:cs="Arial"/>
          <w:b/>
        </w:rPr>
      </w:pPr>
      <w:bookmarkStart w:id="0" w:name="_GoBack"/>
      <w:bookmarkEnd w:id="0"/>
    </w:p>
    <w:p w14:paraId="59F87B8A" w14:textId="77777777" w:rsidR="00BC3946" w:rsidRPr="00D02D7F" w:rsidRDefault="00BC3946" w:rsidP="000B5AD2">
      <w:pPr>
        <w:spacing w:after="0"/>
        <w:rPr>
          <w:rFonts w:ascii="Arial" w:hAnsi="Arial" w:cs="Arial"/>
          <w:b/>
        </w:rPr>
      </w:pPr>
      <w:r w:rsidRPr="00D02D7F">
        <w:rPr>
          <w:rFonts w:ascii="Arial" w:hAnsi="Arial" w:cs="Arial"/>
          <w:b/>
        </w:rPr>
        <w:t>Data</w:t>
      </w:r>
    </w:p>
    <w:p w14:paraId="2CA835D9" w14:textId="114BC66F" w:rsidR="00BC3946" w:rsidRDefault="000E41EC" w:rsidP="000E41EC">
      <w:pPr>
        <w:spacing w:after="0"/>
        <w:jc w:val="both"/>
        <w:rPr>
          <w:rFonts w:ascii="Arial" w:hAnsi="Arial" w:cs="Arial"/>
        </w:rPr>
      </w:pPr>
      <w:r>
        <w:rPr>
          <w:rFonts w:ascii="Arial" w:hAnsi="Arial" w:cs="Arial"/>
        </w:rPr>
        <w:lastRenderedPageBreak/>
        <w:t xml:space="preserve">Concentrations of 7-aminoclonazepam in human urine matrix are provided as part of two experiments: (1) </w:t>
      </w:r>
      <w:r w:rsidRPr="000E41EC">
        <w:rPr>
          <w:rFonts w:ascii="Arial" w:hAnsi="Arial" w:cs="Arial"/>
        </w:rPr>
        <w:t>samples prepared from calibrators frozen or refrigerated then compared with reference laboratory method</w:t>
      </w:r>
      <w:r>
        <w:rPr>
          <w:rFonts w:ascii="Arial" w:hAnsi="Arial" w:cs="Arial"/>
        </w:rPr>
        <w:t xml:space="preserve">, and (2) </w:t>
      </w:r>
      <w:r w:rsidRPr="000E41EC">
        <w:rPr>
          <w:rFonts w:ascii="Arial" w:hAnsi="Arial" w:cs="Arial"/>
        </w:rPr>
        <w:t>samples spiked with refrigerated calibrators prepared freshly or frozen for three months</w:t>
      </w:r>
      <w:r>
        <w:rPr>
          <w:rFonts w:ascii="Arial" w:hAnsi="Arial" w:cs="Arial"/>
        </w:rPr>
        <w:t>.</w:t>
      </w:r>
    </w:p>
    <w:p w14:paraId="05F627CF" w14:textId="77777777" w:rsidR="00C469D3" w:rsidRDefault="00C469D3" w:rsidP="000E41EC">
      <w:pPr>
        <w:spacing w:after="0"/>
        <w:jc w:val="both"/>
        <w:rPr>
          <w:rFonts w:ascii="Arial" w:hAnsi="Arial" w:cs="Arial"/>
        </w:rPr>
      </w:pPr>
    </w:p>
    <w:p w14:paraId="4F61D776" w14:textId="1F6BD9C9" w:rsidR="00C469D3" w:rsidRPr="00D02D7F" w:rsidRDefault="00C469D3" w:rsidP="000E41EC">
      <w:pPr>
        <w:spacing w:after="0"/>
        <w:jc w:val="both"/>
        <w:rPr>
          <w:rFonts w:ascii="Arial" w:hAnsi="Arial" w:cs="Arial"/>
          <w:i/>
        </w:rPr>
      </w:pPr>
      <w:r>
        <w:rPr>
          <w:rFonts w:ascii="Arial" w:hAnsi="Arial" w:cs="Arial"/>
        </w:rPr>
        <w:t xml:space="preserve">Two files are provided: </w:t>
      </w:r>
      <w:proofErr w:type="spellStart"/>
      <w:r>
        <w:rPr>
          <w:rFonts w:ascii="Arial" w:hAnsi="Arial" w:cs="Arial"/>
        </w:rPr>
        <w:t>GraphPad</w:t>
      </w:r>
      <w:proofErr w:type="spellEnd"/>
      <w:r>
        <w:rPr>
          <w:rFonts w:ascii="Arial" w:hAnsi="Arial" w:cs="Arial"/>
        </w:rPr>
        <w:t xml:space="preserve"> Prism 7 file </w:t>
      </w:r>
      <w:proofErr w:type="gramStart"/>
      <w:r>
        <w:rPr>
          <w:rFonts w:ascii="Arial" w:hAnsi="Arial" w:cs="Arial"/>
        </w:rPr>
        <w:t>(.</w:t>
      </w:r>
      <w:proofErr w:type="spellStart"/>
      <w:r>
        <w:rPr>
          <w:rFonts w:ascii="Arial" w:hAnsi="Arial" w:cs="Arial"/>
        </w:rPr>
        <w:t>pzfx</w:t>
      </w:r>
      <w:proofErr w:type="spellEnd"/>
      <w:proofErr w:type="gramEnd"/>
      <w:r>
        <w:rPr>
          <w:rFonts w:ascii="Arial" w:hAnsi="Arial" w:cs="Arial"/>
        </w:rPr>
        <w:t xml:space="preserve">) containing the 7-aminoclonzepam concentrations from both experiments along with accompanying statistical analyses and figure plots; Microsoft Excel file </w:t>
      </w:r>
      <w:r w:rsidR="007007B0">
        <w:rPr>
          <w:rFonts w:ascii="Arial" w:hAnsi="Arial" w:cs="Arial"/>
        </w:rPr>
        <w:t>(.</w:t>
      </w:r>
      <w:proofErr w:type="spellStart"/>
      <w:r w:rsidR="007007B0">
        <w:rPr>
          <w:rFonts w:ascii="Arial" w:hAnsi="Arial" w:cs="Arial"/>
        </w:rPr>
        <w:t>xls</w:t>
      </w:r>
      <w:proofErr w:type="spellEnd"/>
      <w:r w:rsidR="007007B0">
        <w:rPr>
          <w:rFonts w:ascii="Arial" w:hAnsi="Arial" w:cs="Arial"/>
        </w:rPr>
        <w:t xml:space="preserve">) </w:t>
      </w:r>
      <w:r>
        <w:rPr>
          <w:rFonts w:ascii="Arial" w:hAnsi="Arial" w:cs="Arial"/>
        </w:rPr>
        <w:t xml:space="preserve">containing the same data </w:t>
      </w:r>
      <w:r w:rsidR="00DC5DB6">
        <w:rPr>
          <w:rFonts w:ascii="Arial" w:hAnsi="Arial" w:cs="Arial"/>
        </w:rPr>
        <w:t xml:space="preserve">and statistical reports </w:t>
      </w:r>
      <w:r>
        <w:rPr>
          <w:rFonts w:ascii="Arial" w:hAnsi="Arial" w:cs="Arial"/>
        </w:rPr>
        <w:t>in spreadsheet format</w:t>
      </w:r>
      <w:r w:rsidR="00AF4D5D">
        <w:rPr>
          <w:rFonts w:ascii="Arial" w:hAnsi="Arial" w:cs="Arial"/>
        </w:rPr>
        <w:t>,</w:t>
      </w:r>
      <w:r>
        <w:rPr>
          <w:rFonts w:ascii="Arial" w:hAnsi="Arial" w:cs="Arial"/>
        </w:rPr>
        <w:t xml:space="preserve"> minus figure plots</w:t>
      </w:r>
      <w:r w:rsidR="009D1892">
        <w:rPr>
          <w:rFonts w:ascii="Arial" w:hAnsi="Arial" w:cs="Arial"/>
        </w:rPr>
        <w:t>.</w:t>
      </w:r>
    </w:p>
    <w:p w14:paraId="4C26A211" w14:textId="77777777" w:rsidR="00BC3946" w:rsidRPr="00D02D7F" w:rsidRDefault="00BC3946" w:rsidP="000B5AD2">
      <w:pPr>
        <w:spacing w:after="0"/>
        <w:rPr>
          <w:rFonts w:ascii="Arial" w:hAnsi="Arial" w:cs="Arial"/>
          <w:i/>
        </w:rPr>
      </w:pPr>
    </w:p>
    <w:p w14:paraId="01245706" w14:textId="77777777" w:rsidR="000B5AD2" w:rsidRPr="00D02D7F" w:rsidRDefault="00D663AD" w:rsidP="000B5AD2">
      <w:pPr>
        <w:spacing w:after="0"/>
        <w:rPr>
          <w:rFonts w:ascii="Arial" w:hAnsi="Arial" w:cs="Arial"/>
          <w:b/>
        </w:rPr>
      </w:pPr>
      <w:r w:rsidRPr="00D02D7F">
        <w:rPr>
          <w:rFonts w:ascii="Arial" w:hAnsi="Arial" w:cs="Arial"/>
          <w:b/>
        </w:rPr>
        <w:t>Experimental Design</w:t>
      </w:r>
      <w:r w:rsidR="006734CF" w:rsidRPr="00D02D7F">
        <w:rPr>
          <w:rFonts w:ascii="Arial" w:hAnsi="Arial" w:cs="Arial"/>
          <w:b/>
        </w:rPr>
        <w:t>, Materials</w:t>
      </w:r>
      <w:r w:rsidR="00642A2E" w:rsidRPr="00D02D7F">
        <w:rPr>
          <w:rFonts w:ascii="Arial" w:hAnsi="Arial" w:cs="Arial"/>
          <w:b/>
        </w:rPr>
        <w:t>,</w:t>
      </w:r>
      <w:r w:rsidR="006734CF" w:rsidRPr="00D02D7F">
        <w:rPr>
          <w:rFonts w:ascii="Arial" w:hAnsi="Arial" w:cs="Arial"/>
          <w:b/>
        </w:rPr>
        <w:t xml:space="preserve"> and Methods</w:t>
      </w:r>
    </w:p>
    <w:p w14:paraId="6A2B236B" w14:textId="530A30F6" w:rsidR="000B5AD2" w:rsidRDefault="00FA5CE8" w:rsidP="00CD7710">
      <w:pPr>
        <w:spacing w:after="0"/>
        <w:jc w:val="both"/>
        <w:rPr>
          <w:rFonts w:ascii="Arial" w:hAnsi="Arial" w:cs="Arial"/>
        </w:rPr>
      </w:pPr>
      <w:r>
        <w:rPr>
          <w:rFonts w:ascii="Arial" w:hAnsi="Arial" w:cs="Arial"/>
        </w:rPr>
        <w:t>7-aminoclonazepam concentrations in human urine were measured using a</w:t>
      </w:r>
      <w:r w:rsidR="0037542F">
        <w:rPr>
          <w:rFonts w:ascii="Arial" w:hAnsi="Arial" w:cs="Arial"/>
        </w:rPr>
        <w:t xml:space="preserve"> </w:t>
      </w:r>
      <w:r w:rsidR="00CD7710">
        <w:rPr>
          <w:rFonts w:ascii="Arial" w:hAnsi="Arial" w:cs="Arial"/>
        </w:rPr>
        <w:t xml:space="preserve">recently reported dilute-and-shoot UPLC-MS/MS assay to quantify benzodiazepines and related metabolites in human urine for use in clinical pain management (1). Urine samples are diluted with water and deuterated internal standard, separated by UPLC, then </w:t>
      </w:r>
      <w:r w:rsidR="00E9112A">
        <w:rPr>
          <w:rFonts w:ascii="Arial" w:hAnsi="Arial" w:cs="Arial"/>
        </w:rPr>
        <w:t>measured</w:t>
      </w:r>
      <w:r w:rsidR="00CD7710">
        <w:rPr>
          <w:rFonts w:ascii="Arial" w:hAnsi="Arial" w:cs="Arial"/>
        </w:rPr>
        <w:t xml:space="preserve"> by </w:t>
      </w:r>
      <w:r w:rsidR="00953153">
        <w:rPr>
          <w:rFonts w:ascii="Arial" w:hAnsi="Arial" w:cs="Arial"/>
        </w:rPr>
        <w:t xml:space="preserve">ESI </w:t>
      </w:r>
      <w:r w:rsidR="00CD7710">
        <w:rPr>
          <w:rFonts w:ascii="Arial" w:hAnsi="Arial" w:cs="Arial"/>
        </w:rPr>
        <w:t>tandem MS. The assay was validated according to FDA bioanalytical guidelines, including for accuracy, precision, analytical range, stability, matrix effe</w:t>
      </w:r>
      <w:r w:rsidR="00F51113">
        <w:rPr>
          <w:rFonts w:ascii="Arial" w:hAnsi="Arial" w:cs="Arial"/>
        </w:rPr>
        <w:t>cts, specificity, and carryover.</w:t>
      </w:r>
    </w:p>
    <w:p w14:paraId="254928F5" w14:textId="77777777" w:rsidR="00CD7710" w:rsidRDefault="00CD7710" w:rsidP="00CD7710">
      <w:pPr>
        <w:spacing w:after="0"/>
        <w:jc w:val="both"/>
        <w:rPr>
          <w:rFonts w:ascii="Arial" w:hAnsi="Arial" w:cs="Arial"/>
        </w:rPr>
      </w:pPr>
    </w:p>
    <w:p w14:paraId="02B51074" w14:textId="3F221699" w:rsidR="00CD7710" w:rsidRPr="00D02D7F" w:rsidRDefault="00CD7710" w:rsidP="00CD7710">
      <w:pPr>
        <w:spacing w:after="0"/>
        <w:jc w:val="both"/>
        <w:rPr>
          <w:rFonts w:ascii="Arial" w:hAnsi="Arial" w:cs="Arial"/>
        </w:rPr>
      </w:pPr>
      <w:r>
        <w:rPr>
          <w:rFonts w:ascii="Arial" w:hAnsi="Arial" w:cs="Arial"/>
        </w:rPr>
        <w:t>Fo</w:t>
      </w:r>
      <w:r w:rsidR="0059157C">
        <w:rPr>
          <w:rFonts w:ascii="Arial" w:hAnsi="Arial" w:cs="Arial"/>
        </w:rPr>
        <w:t>r the first experiment, 7-aminoclonazepam calibrators (</w:t>
      </w:r>
      <w:proofErr w:type="spellStart"/>
      <w:r w:rsidR="0059157C">
        <w:rPr>
          <w:rFonts w:ascii="Arial" w:hAnsi="Arial" w:cs="Arial"/>
        </w:rPr>
        <w:t>Cerilliant</w:t>
      </w:r>
      <w:proofErr w:type="spellEnd"/>
      <w:r w:rsidR="0059157C">
        <w:rPr>
          <w:rFonts w:ascii="Arial" w:hAnsi="Arial" w:cs="Arial"/>
        </w:rPr>
        <w:t xml:space="preserve">) were either stored in 4 </w:t>
      </w:r>
      <w:r w:rsidR="0059157C">
        <w:rPr>
          <w:rFonts w:ascii="Arial" w:hAnsi="Arial" w:cs="Arial"/>
        </w:rPr>
        <w:sym w:font="Symbol" w:char="F0B0"/>
      </w:r>
      <w:r w:rsidR="0059157C">
        <w:rPr>
          <w:rFonts w:ascii="Arial" w:hAnsi="Arial" w:cs="Arial"/>
        </w:rPr>
        <w:t xml:space="preserve">C refrigerator according to manufacturer specifications, or stored in -20 </w:t>
      </w:r>
      <w:r w:rsidR="0059157C">
        <w:rPr>
          <w:rFonts w:ascii="Arial" w:hAnsi="Arial" w:cs="Arial"/>
        </w:rPr>
        <w:sym w:font="Symbol" w:char="F0B0"/>
      </w:r>
      <w:r w:rsidR="0059157C">
        <w:rPr>
          <w:rFonts w:ascii="Arial" w:hAnsi="Arial" w:cs="Arial"/>
        </w:rPr>
        <w:t>C for approximately one month. Drug-free human urine (Bio-Rad) was spiked with varying concentrations of 7-aminoclonazepam (0 to 1000 ng/mL)</w:t>
      </w:r>
      <w:r w:rsidR="00EF0EC1">
        <w:rPr>
          <w:rFonts w:ascii="Arial" w:hAnsi="Arial" w:cs="Arial"/>
        </w:rPr>
        <w:t xml:space="preserve"> from either of the aforementioned calibrators in otherwise identical fashion</w:t>
      </w:r>
      <w:r w:rsidR="0059157C">
        <w:rPr>
          <w:rFonts w:ascii="Arial" w:hAnsi="Arial" w:cs="Arial"/>
        </w:rPr>
        <w:t xml:space="preserve">. The concentration of 7-aminoclonazepam was measured by </w:t>
      </w:r>
      <w:r w:rsidR="008532FB">
        <w:rPr>
          <w:rFonts w:ascii="Arial" w:hAnsi="Arial" w:cs="Arial"/>
        </w:rPr>
        <w:t xml:space="preserve">a validated </w:t>
      </w:r>
      <w:r w:rsidR="0059157C">
        <w:rPr>
          <w:rFonts w:ascii="Arial" w:hAnsi="Arial" w:cs="Arial"/>
        </w:rPr>
        <w:t xml:space="preserve">in-house UPLC-MS/MS assay and compared with the same sample </w:t>
      </w:r>
      <w:r w:rsidR="008532FB">
        <w:rPr>
          <w:rFonts w:ascii="Arial" w:hAnsi="Arial" w:cs="Arial"/>
        </w:rPr>
        <w:t>tested</w:t>
      </w:r>
      <w:r w:rsidR="0059157C">
        <w:rPr>
          <w:rFonts w:ascii="Arial" w:hAnsi="Arial" w:cs="Arial"/>
        </w:rPr>
        <w:t xml:space="preserve"> by a reference laboratory LC-MS/MS method (ARUP Laboratories).</w:t>
      </w:r>
      <w:r w:rsidR="00AF4D5D">
        <w:rPr>
          <w:rFonts w:ascii="Arial" w:hAnsi="Arial" w:cs="Arial"/>
        </w:rPr>
        <w:t xml:space="preserve"> Concentrations obtained from the two methods for each sample are plotted</w:t>
      </w:r>
      <w:r w:rsidR="009E0451">
        <w:rPr>
          <w:rFonts w:ascii="Arial" w:hAnsi="Arial" w:cs="Arial"/>
        </w:rPr>
        <w:t xml:space="preserve"> and analyzed by Deming regression</w:t>
      </w:r>
      <w:r w:rsidR="00AF4D5D">
        <w:rPr>
          <w:rFonts w:ascii="Arial" w:hAnsi="Arial" w:cs="Arial"/>
        </w:rPr>
        <w:t>.</w:t>
      </w:r>
    </w:p>
    <w:p w14:paraId="40F2E73A" w14:textId="77777777" w:rsidR="000B5AD2" w:rsidRDefault="000B5AD2" w:rsidP="000B5AD2">
      <w:pPr>
        <w:spacing w:after="0"/>
        <w:rPr>
          <w:rFonts w:ascii="Arial" w:hAnsi="Arial" w:cs="Arial"/>
        </w:rPr>
      </w:pPr>
    </w:p>
    <w:p w14:paraId="22D2516E" w14:textId="4300F792" w:rsidR="0059157C" w:rsidRPr="00D02D7F" w:rsidRDefault="0059157C" w:rsidP="0059157C">
      <w:pPr>
        <w:spacing w:after="0"/>
        <w:jc w:val="both"/>
        <w:rPr>
          <w:rFonts w:ascii="Arial" w:hAnsi="Arial" w:cs="Arial"/>
        </w:rPr>
      </w:pPr>
      <w:r>
        <w:rPr>
          <w:rFonts w:ascii="Arial" w:hAnsi="Arial" w:cs="Arial"/>
        </w:rPr>
        <w:t>For the second experiment, 7-aminoclonazepam calibrators (</w:t>
      </w:r>
      <w:proofErr w:type="spellStart"/>
      <w:r>
        <w:rPr>
          <w:rFonts w:ascii="Arial" w:hAnsi="Arial" w:cs="Arial"/>
        </w:rPr>
        <w:t>Cerilliant</w:t>
      </w:r>
      <w:proofErr w:type="spellEnd"/>
      <w:r>
        <w:rPr>
          <w:rFonts w:ascii="Arial" w:hAnsi="Arial" w:cs="Arial"/>
        </w:rPr>
        <w:t xml:space="preserve">) were either stored in 4 </w:t>
      </w:r>
      <w:r>
        <w:rPr>
          <w:rFonts w:ascii="Arial" w:hAnsi="Arial" w:cs="Arial"/>
        </w:rPr>
        <w:sym w:font="Symbol" w:char="F0B0"/>
      </w:r>
      <w:r>
        <w:rPr>
          <w:rFonts w:ascii="Arial" w:hAnsi="Arial" w:cs="Arial"/>
        </w:rPr>
        <w:t xml:space="preserve">C refrigerator according to manufacturer specifications. Drug-free human urine (Bio-Rad) was spiked with </w:t>
      </w:r>
      <w:r w:rsidR="00A34D94">
        <w:rPr>
          <w:rFonts w:ascii="Arial" w:hAnsi="Arial" w:cs="Arial"/>
        </w:rPr>
        <w:t>specified</w:t>
      </w:r>
      <w:r>
        <w:rPr>
          <w:rFonts w:ascii="Arial" w:hAnsi="Arial" w:cs="Arial"/>
        </w:rPr>
        <w:t xml:space="preserve"> concentrations of 7-aminoclonazepam (5 to 2000 ng/mL). Samples were either prepared fresh or stored in -20 </w:t>
      </w:r>
      <w:r w:rsidR="00CD3691">
        <w:rPr>
          <w:rFonts w:ascii="Arial" w:hAnsi="Arial" w:cs="Arial"/>
        </w:rPr>
        <w:sym w:font="Symbol" w:char="F0B0"/>
      </w:r>
      <w:r w:rsidR="00CD3691">
        <w:rPr>
          <w:rFonts w:ascii="Arial" w:hAnsi="Arial" w:cs="Arial"/>
        </w:rPr>
        <w:t>C</w:t>
      </w:r>
      <w:r>
        <w:rPr>
          <w:rFonts w:ascii="Arial" w:hAnsi="Arial" w:cs="Arial"/>
        </w:rPr>
        <w:t xml:space="preserve"> for three months</w:t>
      </w:r>
      <w:r w:rsidR="00A34D94">
        <w:rPr>
          <w:rFonts w:ascii="Arial" w:hAnsi="Arial" w:cs="Arial"/>
        </w:rPr>
        <w:t>, but in otherwise identical fashion</w:t>
      </w:r>
      <w:r>
        <w:rPr>
          <w:rFonts w:ascii="Arial" w:hAnsi="Arial" w:cs="Arial"/>
        </w:rPr>
        <w:t xml:space="preserve">. The concentration of 7-aminoclonazepam was measured </w:t>
      </w:r>
      <w:r w:rsidR="00CD3691">
        <w:rPr>
          <w:rFonts w:ascii="Arial" w:hAnsi="Arial" w:cs="Arial"/>
        </w:rPr>
        <w:t xml:space="preserve">for each set of spiked samples </w:t>
      </w:r>
      <w:r>
        <w:rPr>
          <w:rFonts w:ascii="Arial" w:hAnsi="Arial" w:cs="Arial"/>
        </w:rPr>
        <w:t xml:space="preserve">by the in-house UPLC-MS/MS assay </w:t>
      </w:r>
      <w:r w:rsidR="00CD3691">
        <w:rPr>
          <w:rFonts w:ascii="Arial" w:hAnsi="Arial" w:cs="Arial"/>
        </w:rPr>
        <w:t>in the same experimental run.</w:t>
      </w:r>
      <w:r w:rsidR="00AF4D5D">
        <w:rPr>
          <w:rFonts w:ascii="Arial" w:hAnsi="Arial" w:cs="Arial"/>
        </w:rPr>
        <w:t xml:space="preserve"> Concentrations obtained from the two sets samples for each sample are plotted</w:t>
      </w:r>
      <w:r w:rsidR="009E0451">
        <w:rPr>
          <w:rFonts w:ascii="Arial" w:hAnsi="Arial" w:cs="Arial"/>
        </w:rPr>
        <w:t xml:space="preserve"> and analyzed by Deming regression</w:t>
      </w:r>
      <w:r w:rsidR="00AF4D5D">
        <w:rPr>
          <w:rFonts w:ascii="Arial" w:hAnsi="Arial" w:cs="Arial"/>
        </w:rPr>
        <w:t>.</w:t>
      </w:r>
    </w:p>
    <w:p w14:paraId="24B0845B" w14:textId="77777777" w:rsidR="0059157C" w:rsidRPr="00D02D7F" w:rsidRDefault="0059157C" w:rsidP="000B5AD2">
      <w:pPr>
        <w:spacing w:after="0"/>
        <w:rPr>
          <w:rFonts w:ascii="Arial" w:hAnsi="Arial" w:cs="Arial"/>
        </w:rPr>
      </w:pPr>
    </w:p>
    <w:p w14:paraId="6C6EF62D" w14:textId="237A9AF5" w:rsidR="00CF0B43" w:rsidRPr="00D02D7F" w:rsidRDefault="000B5AD2" w:rsidP="005116A4">
      <w:pPr>
        <w:spacing w:after="0"/>
        <w:rPr>
          <w:rFonts w:ascii="Arial" w:hAnsi="Arial" w:cs="Arial"/>
          <w:b/>
        </w:rPr>
      </w:pPr>
      <w:r w:rsidRPr="00D02D7F">
        <w:rPr>
          <w:rFonts w:ascii="Arial" w:hAnsi="Arial" w:cs="Arial"/>
          <w:b/>
        </w:rPr>
        <w:t>References</w:t>
      </w:r>
    </w:p>
    <w:p w14:paraId="5F3D9ECB" w14:textId="7CB341CF" w:rsidR="00FA5CE8" w:rsidRPr="00CD7710" w:rsidRDefault="00FA5CE8" w:rsidP="00CD7710">
      <w:pPr>
        <w:pStyle w:val="ListParagraph"/>
        <w:numPr>
          <w:ilvl w:val="0"/>
          <w:numId w:val="4"/>
        </w:numPr>
        <w:spacing w:after="0"/>
        <w:jc w:val="both"/>
        <w:rPr>
          <w:rFonts w:ascii="Arial" w:hAnsi="Arial" w:cs="Arial"/>
        </w:rPr>
      </w:pPr>
      <w:r w:rsidRPr="00323E98">
        <w:rPr>
          <w:rFonts w:ascii="Arial" w:hAnsi="Arial" w:cs="Arial"/>
        </w:rPr>
        <w:t xml:space="preserve">Dahlin, JL, </w:t>
      </w:r>
      <w:proofErr w:type="spellStart"/>
      <w:r w:rsidRPr="00323E98">
        <w:rPr>
          <w:rFonts w:ascii="Arial" w:hAnsi="Arial" w:cs="Arial"/>
        </w:rPr>
        <w:t>Palte</w:t>
      </w:r>
      <w:proofErr w:type="spellEnd"/>
      <w:r w:rsidRPr="00323E98">
        <w:rPr>
          <w:rFonts w:ascii="Arial" w:hAnsi="Arial" w:cs="Arial"/>
        </w:rPr>
        <w:t xml:space="preserve">, MJ, </w:t>
      </w:r>
      <w:proofErr w:type="spellStart"/>
      <w:r w:rsidRPr="00323E98">
        <w:rPr>
          <w:rFonts w:ascii="Arial" w:hAnsi="Arial" w:cs="Arial"/>
        </w:rPr>
        <w:t>LaMacchia</w:t>
      </w:r>
      <w:proofErr w:type="spellEnd"/>
      <w:r w:rsidRPr="00323E98">
        <w:rPr>
          <w:rFonts w:ascii="Arial" w:hAnsi="Arial" w:cs="Arial"/>
        </w:rPr>
        <w:t xml:space="preserve">, J, Petrides, AK. A rapid dilute-and-shoot UPLC-MS/MS assay to simultaneously quantify 37 </w:t>
      </w:r>
      <w:proofErr w:type="gramStart"/>
      <w:r w:rsidRPr="00323E98">
        <w:rPr>
          <w:rFonts w:ascii="Arial" w:hAnsi="Arial" w:cs="Arial"/>
        </w:rPr>
        <w:t>opioid</w:t>
      </w:r>
      <w:proofErr w:type="gramEnd"/>
      <w:r w:rsidRPr="00323E98">
        <w:rPr>
          <w:rFonts w:ascii="Arial" w:hAnsi="Arial" w:cs="Arial"/>
        </w:rPr>
        <w:t>, benzodiazepine, drugs of abuse, and related metabolites in human urine for use in clinical pain management</w:t>
      </w:r>
      <w:r w:rsidR="00ED7F82">
        <w:rPr>
          <w:rFonts w:ascii="Arial" w:hAnsi="Arial" w:cs="Arial"/>
        </w:rPr>
        <w:t xml:space="preserve">. </w:t>
      </w:r>
      <w:r w:rsidRPr="00323E98">
        <w:rPr>
          <w:rFonts w:ascii="Arial" w:hAnsi="Arial" w:cs="Arial"/>
        </w:rPr>
        <w:t>(in review)</w:t>
      </w:r>
    </w:p>
    <w:sectPr w:rsidR="00FA5CE8" w:rsidRPr="00CD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6B28"/>
    <w:multiLevelType w:val="hybridMultilevel"/>
    <w:tmpl w:val="7D64D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8049D9"/>
    <w:multiLevelType w:val="hybridMultilevel"/>
    <w:tmpl w:val="C88A04C6"/>
    <w:lvl w:ilvl="0" w:tplc="C2061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855150"/>
    <w:multiLevelType w:val="hybridMultilevel"/>
    <w:tmpl w:val="33B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D2"/>
    <w:rsid w:val="00001E53"/>
    <w:rsid w:val="00014964"/>
    <w:rsid w:val="00037BE5"/>
    <w:rsid w:val="000447EB"/>
    <w:rsid w:val="00046780"/>
    <w:rsid w:val="00054539"/>
    <w:rsid w:val="00057BC9"/>
    <w:rsid w:val="00060F55"/>
    <w:rsid w:val="000702A0"/>
    <w:rsid w:val="000851D4"/>
    <w:rsid w:val="000B38B1"/>
    <w:rsid w:val="000B5AD2"/>
    <w:rsid w:val="000C3A7E"/>
    <w:rsid w:val="000E41EC"/>
    <w:rsid w:val="000F230F"/>
    <w:rsid w:val="00102512"/>
    <w:rsid w:val="00117D58"/>
    <w:rsid w:val="0012767D"/>
    <w:rsid w:val="00150656"/>
    <w:rsid w:val="00184870"/>
    <w:rsid w:val="001960CD"/>
    <w:rsid w:val="001D18C7"/>
    <w:rsid w:val="001D3275"/>
    <w:rsid w:val="001D66E0"/>
    <w:rsid w:val="001E2C86"/>
    <w:rsid w:val="0020022B"/>
    <w:rsid w:val="00232F02"/>
    <w:rsid w:val="00246376"/>
    <w:rsid w:val="00254ADF"/>
    <w:rsid w:val="00262DEB"/>
    <w:rsid w:val="002B0F97"/>
    <w:rsid w:val="002C00EB"/>
    <w:rsid w:val="002F7E62"/>
    <w:rsid w:val="003128E4"/>
    <w:rsid w:val="0031313F"/>
    <w:rsid w:val="0032266A"/>
    <w:rsid w:val="00323E98"/>
    <w:rsid w:val="00336C78"/>
    <w:rsid w:val="0034153C"/>
    <w:rsid w:val="00342849"/>
    <w:rsid w:val="00357627"/>
    <w:rsid w:val="003673CA"/>
    <w:rsid w:val="00367976"/>
    <w:rsid w:val="003726C4"/>
    <w:rsid w:val="0037542F"/>
    <w:rsid w:val="003A0871"/>
    <w:rsid w:val="003B27C1"/>
    <w:rsid w:val="003C160F"/>
    <w:rsid w:val="003C1E0C"/>
    <w:rsid w:val="003C6A0A"/>
    <w:rsid w:val="004029C5"/>
    <w:rsid w:val="004169DA"/>
    <w:rsid w:val="00423C82"/>
    <w:rsid w:val="0044601E"/>
    <w:rsid w:val="0046645B"/>
    <w:rsid w:val="00481950"/>
    <w:rsid w:val="004920A3"/>
    <w:rsid w:val="004D3E42"/>
    <w:rsid w:val="004F1FF3"/>
    <w:rsid w:val="004F5435"/>
    <w:rsid w:val="004F55B4"/>
    <w:rsid w:val="00503278"/>
    <w:rsid w:val="00507F21"/>
    <w:rsid w:val="005116A4"/>
    <w:rsid w:val="00527DFD"/>
    <w:rsid w:val="00544262"/>
    <w:rsid w:val="00557E5E"/>
    <w:rsid w:val="005622B8"/>
    <w:rsid w:val="00573737"/>
    <w:rsid w:val="00576FE0"/>
    <w:rsid w:val="00587D7D"/>
    <w:rsid w:val="0059157C"/>
    <w:rsid w:val="00592981"/>
    <w:rsid w:val="00594366"/>
    <w:rsid w:val="005A1E12"/>
    <w:rsid w:val="005A2C0A"/>
    <w:rsid w:val="005B7C7A"/>
    <w:rsid w:val="005D289D"/>
    <w:rsid w:val="00617C3D"/>
    <w:rsid w:val="006331BC"/>
    <w:rsid w:val="00642A2E"/>
    <w:rsid w:val="006734CF"/>
    <w:rsid w:val="00676BC3"/>
    <w:rsid w:val="006A7DC1"/>
    <w:rsid w:val="006C1F9D"/>
    <w:rsid w:val="006E09F0"/>
    <w:rsid w:val="006E4368"/>
    <w:rsid w:val="007007B0"/>
    <w:rsid w:val="00700C59"/>
    <w:rsid w:val="007206FA"/>
    <w:rsid w:val="00721BB6"/>
    <w:rsid w:val="00724671"/>
    <w:rsid w:val="007A00E9"/>
    <w:rsid w:val="007A0D83"/>
    <w:rsid w:val="007A578D"/>
    <w:rsid w:val="007C7AE8"/>
    <w:rsid w:val="007F7A92"/>
    <w:rsid w:val="008029A9"/>
    <w:rsid w:val="00805B09"/>
    <w:rsid w:val="008272B9"/>
    <w:rsid w:val="00852492"/>
    <w:rsid w:val="008532FB"/>
    <w:rsid w:val="00874873"/>
    <w:rsid w:val="00891B12"/>
    <w:rsid w:val="00896D04"/>
    <w:rsid w:val="008A12F2"/>
    <w:rsid w:val="008D74C3"/>
    <w:rsid w:val="008F171A"/>
    <w:rsid w:val="008F38F8"/>
    <w:rsid w:val="008F63FB"/>
    <w:rsid w:val="009134D2"/>
    <w:rsid w:val="00915EEB"/>
    <w:rsid w:val="0091757E"/>
    <w:rsid w:val="009437F0"/>
    <w:rsid w:val="009477E5"/>
    <w:rsid w:val="00953153"/>
    <w:rsid w:val="00972BC7"/>
    <w:rsid w:val="0098020C"/>
    <w:rsid w:val="009B2A37"/>
    <w:rsid w:val="009B4A6A"/>
    <w:rsid w:val="009D1892"/>
    <w:rsid w:val="009D380F"/>
    <w:rsid w:val="009E0451"/>
    <w:rsid w:val="00A05C7B"/>
    <w:rsid w:val="00A34D94"/>
    <w:rsid w:val="00A46255"/>
    <w:rsid w:val="00A47F51"/>
    <w:rsid w:val="00A706ED"/>
    <w:rsid w:val="00A71E55"/>
    <w:rsid w:val="00A72528"/>
    <w:rsid w:val="00A80B80"/>
    <w:rsid w:val="00AC6D08"/>
    <w:rsid w:val="00AF4D5D"/>
    <w:rsid w:val="00B1598D"/>
    <w:rsid w:val="00B17F25"/>
    <w:rsid w:val="00B25A92"/>
    <w:rsid w:val="00B40350"/>
    <w:rsid w:val="00B4348E"/>
    <w:rsid w:val="00B51F2A"/>
    <w:rsid w:val="00BC3946"/>
    <w:rsid w:val="00BC75D2"/>
    <w:rsid w:val="00BD23F4"/>
    <w:rsid w:val="00BF5522"/>
    <w:rsid w:val="00C41224"/>
    <w:rsid w:val="00C44790"/>
    <w:rsid w:val="00C469D3"/>
    <w:rsid w:val="00CB38DE"/>
    <w:rsid w:val="00CB5FAA"/>
    <w:rsid w:val="00CC1BFB"/>
    <w:rsid w:val="00CD3691"/>
    <w:rsid w:val="00CD54F9"/>
    <w:rsid w:val="00CD7710"/>
    <w:rsid w:val="00CF0B43"/>
    <w:rsid w:val="00D00075"/>
    <w:rsid w:val="00D02D7F"/>
    <w:rsid w:val="00D14D48"/>
    <w:rsid w:val="00D437E2"/>
    <w:rsid w:val="00D663AD"/>
    <w:rsid w:val="00D74861"/>
    <w:rsid w:val="00D80123"/>
    <w:rsid w:val="00DA76EF"/>
    <w:rsid w:val="00DB2AC2"/>
    <w:rsid w:val="00DC5DB6"/>
    <w:rsid w:val="00DF043E"/>
    <w:rsid w:val="00E12952"/>
    <w:rsid w:val="00E22FE1"/>
    <w:rsid w:val="00E3082B"/>
    <w:rsid w:val="00E3621A"/>
    <w:rsid w:val="00E36DB4"/>
    <w:rsid w:val="00E40091"/>
    <w:rsid w:val="00E70198"/>
    <w:rsid w:val="00E70A05"/>
    <w:rsid w:val="00E76AEA"/>
    <w:rsid w:val="00E85178"/>
    <w:rsid w:val="00E9112A"/>
    <w:rsid w:val="00ED16E1"/>
    <w:rsid w:val="00ED18ED"/>
    <w:rsid w:val="00ED7F82"/>
    <w:rsid w:val="00EF0EC1"/>
    <w:rsid w:val="00F13614"/>
    <w:rsid w:val="00F3068C"/>
    <w:rsid w:val="00F404DD"/>
    <w:rsid w:val="00F41148"/>
    <w:rsid w:val="00F51113"/>
    <w:rsid w:val="00F633E6"/>
    <w:rsid w:val="00F869F1"/>
    <w:rsid w:val="00FA5CE8"/>
    <w:rsid w:val="00FC6770"/>
    <w:rsid w:val="00FE2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33CC"/>
  <w15:docId w15:val="{06F39738-4C99-4004-BAF0-D784E4BA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BC9"/>
    <w:pPr>
      <w:ind w:left="720"/>
      <w:contextualSpacing/>
    </w:pPr>
  </w:style>
  <w:style w:type="paragraph" w:styleId="BalloonText">
    <w:name w:val="Balloon Text"/>
    <w:basedOn w:val="Normal"/>
    <w:link w:val="BalloonTextChar"/>
    <w:uiPriority w:val="99"/>
    <w:semiHidden/>
    <w:unhideWhenUsed/>
    <w:rsid w:val="003C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0A"/>
    <w:rPr>
      <w:rFonts w:ascii="Tahoma" w:hAnsi="Tahoma" w:cs="Tahoma"/>
      <w:sz w:val="16"/>
      <w:szCs w:val="16"/>
    </w:rPr>
  </w:style>
  <w:style w:type="character" w:styleId="Hyperlink">
    <w:name w:val="Hyperlink"/>
    <w:basedOn w:val="DefaultParagraphFont"/>
    <w:uiPriority w:val="99"/>
    <w:unhideWhenUsed/>
    <w:rsid w:val="00246376"/>
    <w:rPr>
      <w:color w:val="0000FF" w:themeColor="hyperlink"/>
      <w:u w:val="single"/>
    </w:rPr>
  </w:style>
  <w:style w:type="character" w:styleId="FollowedHyperlink">
    <w:name w:val="FollowedHyperlink"/>
    <w:basedOn w:val="DefaultParagraphFont"/>
    <w:uiPriority w:val="99"/>
    <w:semiHidden/>
    <w:unhideWhenUsed/>
    <w:rsid w:val="00E22FE1"/>
    <w:rPr>
      <w:color w:val="800080" w:themeColor="followedHyperlink"/>
      <w:u w:val="single"/>
    </w:rPr>
  </w:style>
  <w:style w:type="character" w:customStyle="1" w:styleId="UnresolvedMention">
    <w:name w:val="Unresolved Mention"/>
    <w:basedOn w:val="DefaultParagraphFont"/>
    <w:uiPriority w:val="99"/>
    <w:semiHidden/>
    <w:unhideWhenUsed/>
    <w:rsid w:val="00A71E55"/>
    <w:rPr>
      <w:color w:val="808080"/>
      <w:shd w:val="clear" w:color="auto" w:fill="E6E6E6"/>
    </w:rPr>
  </w:style>
  <w:style w:type="paragraph" w:styleId="NormalWeb">
    <w:name w:val="Normal (Web)"/>
    <w:basedOn w:val="Normal"/>
    <w:uiPriority w:val="99"/>
    <w:semiHidden/>
    <w:unhideWhenUsed/>
    <w:rsid w:val="008029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9300">
      <w:bodyDiv w:val="1"/>
      <w:marLeft w:val="0"/>
      <w:marRight w:val="0"/>
      <w:marTop w:val="0"/>
      <w:marBottom w:val="0"/>
      <w:divBdr>
        <w:top w:val="none" w:sz="0" w:space="0" w:color="auto"/>
        <w:left w:val="none" w:sz="0" w:space="0" w:color="auto"/>
        <w:bottom w:val="none" w:sz="0" w:space="0" w:color="auto"/>
        <w:right w:val="none" w:sz="0" w:space="0" w:color="auto"/>
      </w:divBdr>
    </w:div>
    <w:div w:id="897784498">
      <w:bodyDiv w:val="1"/>
      <w:marLeft w:val="0"/>
      <w:marRight w:val="0"/>
      <w:marTop w:val="0"/>
      <w:marBottom w:val="0"/>
      <w:divBdr>
        <w:top w:val="none" w:sz="0" w:space="0" w:color="auto"/>
        <w:left w:val="none" w:sz="0" w:space="0" w:color="auto"/>
        <w:bottom w:val="none" w:sz="0" w:space="0" w:color="auto"/>
        <w:right w:val="none" w:sz="0" w:space="0" w:color="auto"/>
      </w:divBdr>
    </w:div>
    <w:div w:id="1096369676">
      <w:bodyDiv w:val="1"/>
      <w:marLeft w:val="0"/>
      <w:marRight w:val="0"/>
      <w:marTop w:val="0"/>
      <w:marBottom w:val="0"/>
      <w:divBdr>
        <w:top w:val="none" w:sz="0" w:space="0" w:color="auto"/>
        <w:left w:val="none" w:sz="0" w:space="0" w:color="auto"/>
        <w:bottom w:val="none" w:sz="0" w:space="0" w:color="auto"/>
        <w:right w:val="none" w:sz="0" w:space="0" w:color="auto"/>
      </w:divBdr>
    </w:div>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Jayme Dahlin</cp:lastModifiedBy>
  <cp:revision>3</cp:revision>
  <cp:lastPrinted>2013-08-13T17:32:00Z</cp:lastPrinted>
  <dcterms:created xsi:type="dcterms:W3CDTF">2018-07-16T19:28:00Z</dcterms:created>
  <dcterms:modified xsi:type="dcterms:W3CDTF">2018-07-16T19:28:00Z</dcterms:modified>
</cp:coreProperties>
</file>