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B75" w:rsidRDefault="00AD1B75" w:rsidP="00AD1B75">
      <w:pPr>
        <w:spacing w:after="0"/>
        <w:rPr>
          <w:i/>
          <w:sz w:val="32"/>
          <w:szCs w:val="32"/>
        </w:rPr>
      </w:pPr>
      <w:r w:rsidRPr="000B5AD2">
        <w:rPr>
          <w:i/>
          <w:sz w:val="32"/>
          <w:szCs w:val="32"/>
        </w:rPr>
        <w:t xml:space="preserve">Data </w:t>
      </w:r>
      <w:r>
        <w:rPr>
          <w:i/>
          <w:sz w:val="32"/>
          <w:szCs w:val="32"/>
        </w:rPr>
        <w:t>article</w:t>
      </w:r>
    </w:p>
    <w:p w:rsidR="00AD1B75" w:rsidRDefault="00AD1B75" w:rsidP="00AD1B75">
      <w:pPr>
        <w:spacing w:line="288" w:lineRule="auto"/>
        <w:rPr>
          <w:b/>
          <w:i/>
        </w:rPr>
      </w:pPr>
      <w:r>
        <w:rPr>
          <w:b/>
        </w:rPr>
        <w:t>Title:</w:t>
      </w:r>
      <w:r w:rsidRPr="00507F21">
        <w:rPr>
          <w:b/>
          <w:i/>
        </w:rPr>
        <w:t xml:space="preserve"> </w:t>
      </w:r>
      <w:r>
        <w:rPr>
          <w:b/>
          <w:i/>
        </w:rPr>
        <w:t xml:space="preserve">Currency crisis </w:t>
      </w:r>
      <w:r w:rsidR="002D242A">
        <w:rPr>
          <w:b/>
          <w:i/>
        </w:rPr>
        <w:t>identification</w:t>
      </w:r>
      <w:r>
        <w:rPr>
          <w:b/>
          <w:i/>
        </w:rPr>
        <w:t xml:space="preserve"> </w:t>
      </w:r>
    </w:p>
    <w:p w:rsidR="00AD1B75" w:rsidRDefault="00AD1B75" w:rsidP="00AD1B75">
      <w:pPr>
        <w:spacing w:line="288" w:lineRule="auto"/>
        <w:rPr>
          <w:b/>
        </w:rPr>
      </w:pPr>
      <w:r>
        <w:rPr>
          <w:b/>
        </w:rPr>
        <w:t>Authors:</w:t>
      </w:r>
      <w:r>
        <w:rPr>
          <w:b/>
        </w:rPr>
        <w:t xml:space="preserve"> Boonman, T. M.</w:t>
      </w:r>
    </w:p>
    <w:p w:rsidR="00AD1B75" w:rsidRPr="00AD1B75" w:rsidRDefault="00AD1B75" w:rsidP="00AD1B75">
      <w:pPr>
        <w:spacing w:line="288" w:lineRule="auto"/>
        <w:rPr>
          <w:b/>
          <w:lang w:val="es-MX"/>
        </w:rPr>
      </w:pPr>
      <w:proofErr w:type="spellStart"/>
      <w:r w:rsidRPr="00AD1B75">
        <w:rPr>
          <w:b/>
          <w:lang w:val="es-MX"/>
        </w:rPr>
        <w:t>Affiliations</w:t>
      </w:r>
      <w:proofErr w:type="spellEnd"/>
      <w:r w:rsidRPr="00AD1B75">
        <w:rPr>
          <w:b/>
          <w:lang w:val="es-MX"/>
        </w:rPr>
        <w:t>:</w:t>
      </w:r>
      <w:r w:rsidRPr="00AD1B75">
        <w:rPr>
          <w:b/>
          <w:lang w:val="es-MX"/>
        </w:rPr>
        <w:t xml:space="preserve"> Banco de </w:t>
      </w:r>
      <w:proofErr w:type="spellStart"/>
      <w:r w:rsidRPr="00AD1B75">
        <w:rPr>
          <w:b/>
          <w:lang w:val="es-MX"/>
        </w:rPr>
        <w:t>Mexico</w:t>
      </w:r>
      <w:proofErr w:type="spellEnd"/>
    </w:p>
    <w:p w:rsidR="00AD1B75" w:rsidRPr="00AD1B75" w:rsidRDefault="00AD1B75" w:rsidP="00AD1B75">
      <w:pPr>
        <w:spacing w:line="288" w:lineRule="auto"/>
        <w:rPr>
          <w:b/>
        </w:rPr>
      </w:pPr>
      <w:r w:rsidRPr="00AD1B75">
        <w:rPr>
          <w:b/>
        </w:rPr>
        <w:t>Contact email:</w:t>
      </w:r>
      <w:r w:rsidRPr="00AD1B75">
        <w:rPr>
          <w:b/>
        </w:rPr>
        <w:t xml:space="preserve"> </w:t>
      </w:r>
      <w:hyperlink r:id="rId7" w:history="1">
        <w:r w:rsidRPr="0091557E">
          <w:rPr>
            <w:rStyle w:val="Hipervnculo"/>
            <w:b/>
          </w:rPr>
          <w:t>tboonman@banxico.org.mx</w:t>
        </w:r>
      </w:hyperlink>
      <w:r>
        <w:rPr>
          <w:b/>
        </w:rPr>
        <w:t xml:space="preserve"> </w:t>
      </w:r>
    </w:p>
    <w:p w:rsidR="00AD1B75" w:rsidRPr="00AD1B75" w:rsidRDefault="00AD1B75" w:rsidP="00AD1B75">
      <w:pPr>
        <w:spacing w:after="0"/>
      </w:pPr>
    </w:p>
    <w:p w:rsidR="00AD1B75" w:rsidRPr="004855DE" w:rsidRDefault="00AD1B75" w:rsidP="00AD1B75">
      <w:pPr>
        <w:spacing w:after="0"/>
        <w:rPr>
          <w:b/>
        </w:rPr>
      </w:pPr>
      <w:r w:rsidRPr="004855DE">
        <w:rPr>
          <w:b/>
        </w:rPr>
        <w:t>Abstract</w:t>
      </w:r>
    </w:p>
    <w:p w:rsidR="00AD1B75" w:rsidRPr="004855DE" w:rsidRDefault="00AD1B75" w:rsidP="00AD1B75">
      <w:pPr>
        <w:spacing w:after="0"/>
      </w:pPr>
      <w:r w:rsidRPr="004855DE">
        <w:t xml:space="preserve">The empirical research is focused on 35 emerging market economies, from 1990 to 2016, on a monthly basis. The data can be divided in three areas. </w:t>
      </w:r>
    </w:p>
    <w:p w:rsidR="00AD1B75" w:rsidRPr="004855DE" w:rsidRDefault="00AD1B75" w:rsidP="00AD1B75">
      <w:pPr>
        <w:spacing w:after="0"/>
        <w:ind w:firstLine="708"/>
      </w:pPr>
      <w:r w:rsidRPr="004855DE">
        <w:t xml:space="preserve">First, the data to construct the currency crisis dummy variables. I specify the sources of the raw data and transformations. I include the spreadsheet with all operations, including </w:t>
      </w:r>
      <w:proofErr w:type="gramStart"/>
      <w:r w:rsidRPr="004855DE">
        <w:t>macro’s</w:t>
      </w:r>
      <w:proofErr w:type="gramEnd"/>
      <w:r w:rsidRPr="004855DE">
        <w:t xml:space="preserve"> to replicate and extend the country base. The spreadsheet contains a brief description in the first sheet. The original, raw data is not included due to publication restrictions</w:t>
      </w:r>
      <w:r w:rsidR="002E62D6">
        <w:t xml:space="preserve">. At continuation, I label this as </w:t>
      </w:r>
      <w:r w:rsidR="00B94659" w:rsidRPr="004855DE">
        <w:t>Part I</w:t>
      </w:r>
      <w:r w:rsidR="002E62D6">
        <w:t>:</w:t>
      </w:r>
      <w:r w:rsidR="00B94659" w:rsidRPr="004855DE">
        <w:t xml:space="preserve"> quantitative definitions</w:t>
      </w:r>
      <w:r w:rsidRPr="004855DE">
        <w:t xml:space="preserve">. </w:t>
      </w:r>
    </w:p>
    <w:p w:rsidR="00AD1B75" w:rsidRPr="004855DE" w:rsidRDefault="00AD1B75" w:rsidP="00AD1B75">
      <w:pPr>
        <w:spacing w:after="0"/>
        <w:ind w:firstLine="708"/>
      </w:pPr>
      <w:r w:rsidRPr="004855DE">
        <w:t xml:space="preserve">Second, the narrative contains a detailed description around events that are considered currency crises in other studies or that the six definitions employed identify as a currency crisis. The narrative is very useful to distinguish currency crises from other type of events. </w:t>
      </w:r>
      <w:r w:rsidR="009F1C98" w:rsidRPr="004855DE">
        <w:t>For each potential crisis date, we review academic papers and articles from Bloomberg, Economist, BBC News and similar sources, and where possible use more than one source per</w:t>
      </w:r>
      <w:r w:rsidR="009F1C98" w:rsidRPr="004855DE">
        <w:t xml:space="preserve"> </w:t>
      </w:r>
      <w:r w:rsidR="009F1C98" w:rsidRPr="004855DE">
        <w:t>event</w:t>
      </w:r>
      <w:r w:rsidR="002E62D6">
        <w:t xml:space="preserve">. At continuation I call this </w:t>
      </w:r>
      <w:r w:rsidR="00B94659" w:rsidRPr="004855DE">
        <w:t>Part II</w:t>
      </w:r>
      <w:r w:rsidR="002E62D6">
        <w:t>:</w:t>
      </w:r>
      <w:r w:rsidR="00B94659" w:rsidRPr="004855DE">
        <w:t xml:space="preserve"> narrative</w:t>
      </w:r>
      <w:r w:rsidR="009F1C98" w:rsidRPr="004855DE">
        <w:t>.</w:t>
      </w:r>
      <w:r w:rsidR="009F1C98" w:rsidRPr="004855DE">
        <w:t xml:space="preserve"> </w:t>
      </w:r>
    </w:p>
    <w:p w:rsidR="00AD1B75" w:rsidRPr="004855DE" w:rsidRDefault="00AD1B75" w:rsidP="00AD1B75">
      <w:pPr>
        <w:spacing w:after="0"/>
        <w:ind w:firstLine="708"/>
      </w:pPr>
      <w:r w:rsidRPr="004855DE">
        <w:t xml:space="preserve">Third, a list of alternative currency crisis definitions. </w:t>
      </w:r>
      <w:r w:rsidR="006E40E7" w:rsidRPr="004855DE">
        <w:t>I have included the definitions of more than 70 papers on currency crises. Although not complete, the overview is comprehensive and can be helpful to anyone interested in the different definitions that are being used in the literature</w:t>
      </w:r>
      <w:r w:rsidR="002E62D6">
        <w:t xml:space="preserve">. At continuation I label this as </w:t>
      </w:r>
      <w:r w:rsidR="00B94659" w:rsidRPr="004855DE">
        <w:t>Part III: literature</w:t>
      </w:r>
      <w:r w:rsidR="006E40E7" w:rsidRPr="004855DE">
        <w:t xml:space="preserve">. </w:t>
      </w:r>
      <w:r w:rsidRPr="004855DE">
        <w:t xml:space="preserve"> </w:t>
      </w:r>
    </w:p>
    <w:p w:rsidR="00AD1B75" w:rsidRDefault="00AD1B75" w:rsidP="00AD1B75">
      <w:pPr>
        <w:spacing w:after="0"/>
        <w:rPr>
          <w:i/>
          <w:sz w:val="24"/>
          <w:szCs w:val="24"/>
        </w:rPr>
      </w:pPr>
    </w:p>
    <w:p w:rsidR="00AD1B75" w:rsidRDefault="00AD1B75" w:rsidP="00AD1B75">
      <w:pPr>
        <w:spacing w:after="0"/>
      </w:pPr>
    </w:p>
    <w:p w:rsidR="00AD1B75" w:rsidRPr="00E3082B" w:rsidRDefault="00AD1B75" w:rsidP="00AD1B75">
      <w:pPr>
        <w:spacing w:after="0"/>
        <w:rPr>
          <w:i/>
        </w:rPr>
      </w:pPr>
      <w:r w:rsidRPr="00342849">
        <w:rPr>
          <w:b/>
        </w:rPr>
        <w:t xml:space="preserve">Specifications </w:t>
      </w:r>
      <w:r w:rsidRPr="00E3082B">
        <w:rPr>
          <w:b/>
        </w:rPr>
        <w:t>Table</w:t>
      </w:r>
      <w:r>
        <w:rPr>
          <w:b/>
        </w:rPr>
        <w:t xml:space="preserve"> </w:t>
      </w:r>
      <w:r>
        <w:rPr>
          <w:i/>
        </w:rPr>
        <w:t>[please fill in right-hand column of the table below]</w:t>
      </w:r>
    </w:p>
    <w:tbl>
      <w:tblPr>
        <w:tblStyle w:val="Tablaconcuadrcula"/>
        <w:tblW w:w="0" w:type="auto"/>
        <w:tblLook w:val="04A0" w:firstRow="1" w:lastRow="0" w:firstColumn="1" w:lastColumn="0" w:noHBand="0" w:noVBand="1"/>
      </w:tblPr>
      <w:tblGrid>
        <w:gridCol w:w="2491"/>
        <w:gridCol w:w="6337"/>
      </w:tblGrid>
      <w:tr w:rsidR="00AD1B75" w:rsidTr="008422B5">
        <w:tc>
          <w:tcPr>
            <w:tcW w:w="2628" w:type="dxa"/>
          </w:tcPr>
          <w:p w:rsidR="00AD1B75" w:rsidRDefault="00AD1B75" w:rsidP="008422B5">
            <w:pPr>
              <w:tabs>
                <w:tab w:val="left" w:pos="1290"/>
              </w:tabs>
            </w:pPr>
            <w:r>
              <w:t>Subject area</w:t>
            </w:r>
          </w:p>
        </w:tc>
        <w:tc>
          <w:tcPr>
            <w:tcW w:w="6948" w:type="dxa"/>
          </w:tcPr>
          <w:p w:rsidR="00AD1B75" w:rsidRPr="009D586E" w:rsidRDefault="009D586E" w:rsidP="008422B5">
            <w:r w:rsidRPr="009D586E">
              <w:t>Economics, finance</w:t>
            </w:r>
          </w:p>
        </w:tc>
      </w:tr>
      <w:tr w:rsidR="00AD1B75" w:rsidTr="008422B5">
        <w:tc>
          <w:tcPr>
            <w:tcW w:w="2628" w:type="dxa"/>
          </w:tcPr>
          <w:p w:rsidR="00AD1B75" w:rsidRDefault="00AD1B75" w:rsidP="008422B5">
            <w:pPr>
              <w:tabs>
                <w:tab w:val="left" w:pos="1290"/>
              </w:tabs>
            </w:pPr>
            <w:r>
              <w:t>More specific subject area</w:t>
            </w:r>
          </w:p>
        </w:tc>
        <w:tc>
          <w:tcPr>
            <w:tcW w:w="6948" w:type="dxa"/>
          </w:tcPr>
          <w:p w:rsidR="00AD1B75" w:rsidRPr="009D586E" w:rsidRDefault="009D586E" w:rsidP="008422B5">
            <w:r w:rsidRPr="009D586E">
              <w:t>Currency crises</w:t>
            </w:r>
          </w:p>
        </w:tc>
      </w:tr>
      <w:tr w:rsidR="00AD1B75" w:rsidTr="008422B5">
        <w:tc>
          <w:tcPr>
            <w:tcW w:w="2628" w:type="dxa"/>
          </w:tcPr>
          <w:p w:rsidR="00AD1B75" w:rsidRDefault="00AD1B75" w:rsidP="008422B5">
            <w:pPr>
              <w:tabs>
                <w:tab w:val="left" w:pos="1290"/>
              </w:tabs>
            </w:pPr>
            <w:r>
              <w:t>Type of data</w:t>
            </w:r>
          </w:p>
        </w:tc>
        <w:tc>
          <w:tcPr>
            <w:tcW w:w="6948" w:type="dxa"/>
          </w:tcPr>
          <w:p w:rsidR="00B94659" w:rsidRPr="00B94659" w:rsidRDefault="00B94659" w:rsidP="009D586E">
            <w:r>
              <w:t>(</w:t>
            </w:r>
            <w:r w:rsidRPr="00B94659">
              <w:t>Part I: quantitative definitions</w:t>
            </w:r>
            <w:r w:rsidRPr="00B94659">
              <w:t xml:space="preserve">): </w:t>
            </w:r>
            <w:r w:rsidR="00AD1B75" w:rsidRPr="00B94659">
              <w:t>Table</w:t>
            </w:r>
            <w:r w:rsidR="009D586E" w:rsidRPr="00B94659">
              <w:t xml:space="preserve"> and </w:t>
            </w:r>
            <w:r w:rsidR="005F4B1B">
              <w:t xml:space="preserve">two </w:t>
            </w:r>
            <w:r w:rsidR="009D586E" w:rsidRPr="00B94659">
              <w:t>spreadsheet</w:t>
            </w:r>
            <w:r w:rsidR="005F4B1B">
              <w:t>s</w:t>
            </w:r>
            <w:r w:rsidR="009D586E" w:rsidRPr="00B94659">
              <w:t xml:space="preserve">; </w:t>
            </w:r>
          </w:p>
          <w:p w:rsidR="00B94659" w:rsidRPr="00B94659" w:rsidRDefault="00B94659" w:rsidP="009D586E">
            <w:r w:rsidRPr="00B94659">
              <w:t>(Part II: narrative)</w:t>
            </w:r>
            <w:r w:rsidRPr="00B94659">
              <w:t xml:space="preserve">: </w:t>
            </w:r>
            <w:r w:rsidR="009D586E" w:rsidRPr="00B94659">
              <w:t>Text file;</w:t>
            </w:r>
          </w:p>
          <w:p w:rsidR="00AD1B75" w:rsidRPr="009D586E" w:rsidRDefault="00B94659" w:rsidP="009D586E">
            <w:r w:rsidRPr="00B94659">
              <w:t>(Part III: literature)</w:t>
            </w:r>
            <w:r w:rsidRPr="00B94659">
              <w:t>:</w:t>
            </w:r>
            <w:r w:rsidR="009D586E" w:rsidRPr="00B94659">
              <w:t xml:space="preserve"> Table</w:t>
            </w:r>
          </w:p>
        </w:tc>
      </w:tr>
      <w:tr w:rsidR="00AD1B75" w:rsidTr="008422B5">
        <w:tc>
          <w:tcPr>
            <w:tcW w:w="2628" w:type="dxa"/>
          </w:tcPr>
          <w:p w:rsidR="00AD1B75" w:rsidRDefault="00AD1B75" w:rsidP="008422B5">
            <w:r>
              <w:t>How data was acquired</w:t>
            </w:r>
          </w:p>
        </w:tc>
        <w:tc>
          <w:tcPr>
            <w:tcW w:w="6948" w:type="dxa"/>
          </w:tcPr>
          <w:p w:rsidR="00B94659" w:rsidRDefault="00B94659" w:rsidP="008422B5">
            <w:r>
              <w:t>(</w:t>
            </w:r>
            <w:r w:rsidRPr="00B94659">
              <w:t xml:space="preserve">Part I: quantitative definitions): </w:t>
            </w:r>
            <w:r w:rsidR="009D586E" w:rsidRPr="009D586E">
              <w:t xml:space="preserve">International Finance Statistics; </w:t>
            </w:r>
            <w:proofErr w:type="spellStart"/>
            <w:r w:rsidR="009D586E" w:rsidRPr="009D586E">
              <w:t>Ilzetski</w:t>
            </w:r>
            <w:proofErr w:type="spellEnd"/>
            <w:r w:rsidR="009D586E" w:rsidRPr="009D586E">
              <w:t xml:space="preserve">, Reinhart and Rogoff (2016); </w:t>
            </w:r>
          </w:p>
          <w:p w:rsidR="00AD1B75" w:rsidRDefault="00B94659" w:rsidP="008422B5">
            <w:r w:rsidRPr="00B94659">
              <w:t xml:space="preserve">(Part II: narrative): </w:t>
            </w:r>
            <w:r w:rsidR="009D586E" w:rsidRPr="009D586E">
              <w:t xml:space="preserve">academic papers; articles from Bloomberg, the Economist, BBC News and similar sources.  </w:t>
            </w:r>
          </w:p>
          <w:p w:rsidR="00B94659" w:rsidRPr="009D586E" w:rsidRDefault="00B94659" w:rsidP="008422B5">
            <w:r w:rsidRPr="00B94659">
              <w:t>(Part III: literature):</w:t>
            </w:r>
            <w:r>
              <w:t xml:space="preserve"> academic papers</w:t>
            </w:r>
          </w:p>
        </w:tc>
      </w:tr>
      <w:tr w:rsidR="00AD1B75" w:rsidTr="008422B5">
        <w:tc>
          <w:tcPr>
            <w:tcW w:w="2628" w:type="dxa"/>
          </w:tcPr>
          <w:p w:rsidR="00AD1B75" w:rsidRDefault="00AD1B75" w:rsidP="008422B5">
            <w:r>
              <w:t>Data format</w:t>
            </w:r>
          </w:p>
        </w:tc>
        <w:tc>
          <w:tcPr>
            <w:tcW w:w="6948" w:type="dxa"/>
          </w:tcPr>
          <w:p w:rsidR="00AD1B75" w:rsidRPr="009D586E" w:rsidRDefault="009D586E" w:rsidP="008422B5">
            <w:r w:rsidRPr="009D586E">
              <w:t>Processed</w:t>
            </w:r>
          </w:p>
        </w:tc>
      </w:tr>
      <w:tr w:rsidR="00AD1B75" w:rsidTr="008422B5">
        <w:tc>
          <w:tcPr>
            <w:tcW w:w="2628" w:type="dxa"/>
          </w:tcPr>
          <w:p w:rsidR="00AD1B75" w:rsidRDefault="00AD1B75" w:rsidP="008422B5">
            <w:pPr>
              <w:tabs>
                <w:tab w:val="left" w:pos="1290"/>
              </w:tabs>
            </w:pPr>
            <w:r>
              <w:t>Experimental factors</w:t>
            </w:r>
          </w:p>
        </w:tc>
        <w:tc>
          <w:tcPr>
            <w:tcW w:w="6948" w:type="dxa"/>
          </w:tcPr>
          <w:p w:rsidR="00AD1B75" w:rsidRPr="009D586E" w:rsidRDefault="009D586E" w:rsidP="008422B5">
            <w:r w:rsidRPr="009D586E">
              <w:t>N/A</w:t>
            </w:r>
          </w:p>
        </w:tc>
      </w:tr>
      <w:tr w:rsidR="00AD1B75" w:rsidTr="008422B5">
        <w:tc>
          <w:tcPr>
            <w:tcW w:w="2628" w:type="dxa"/>
          </w:tcPr>
          <w:p w:rsidR="00AD1B75" w:rsidRDefault="00AD1B75" w:rsidP="008422B5">
            <w:pPr>
              <w:tabs>
                <w:tab w:val="left" w:pos="1290"/>
              </w:tabs>
            </w:pPr>
            <w:r>
              <w:t>Experimental features</w:t>
            </w:r>
          </w:p>
        </w:tc>
        <w:tc>
          <w:tcPr>
            <w:tcW w:w="6948" w:type="dxa"/>
          </w:tcPr>
          <w:p w:rsidR="00AD1B75" w:rsidRPr="009D586E" w:rsidRDefault="009D586E" w:rsidP="008422B5">
            <w:r w:rsidRPr="009D586E">
              <w:t>N/A</w:t>
            </w:r>
          </w:p>
        </w:tc>
      </w:tr>
      <w:tr w:rsidR="00AD1B75" w:rsidTr="008422B5">
        <w:tc>
          <w:tcPr>
            <w:tcW w:w="2628" w:type="dxa"/>
          </w:tcPr>
          <w:p w:rsidR="00AD1B75" w:rsidRDefault="00AD1B75" w:rsidP="008422B5">
            <w:r>
              <w:t>Data source location</w:t>
            </w:r>
          </w:p>
        </w:tc>
        <w:tc>
          <w:tcPr>
            <w:tcW w:w="6948" w:type="dxa"/>
          </w:tcPr>
          <w:p w:rsidR="00AD1B75" w:rsidRPr="009D586E" w:rsidRDefault="009D586E" w:rsidP="008422B5">
            <w:r>
              <w:t>N/A</w:t>
            </w:r>
          </w:p>
        </w:tc>
      </w:tr>
      <w:tr w:rsidR="00AD1B75" w:rsidTr="008422B5">
        <w:tc>
          <w:tcPr>
            <w:tcW w:w="2628" w:type="dxa"/>
          </w:tcPr>
          <w:p w:rsidR="00AD1B75" w:rsidRDefault="00AD1B75" w:rsidP="008422B5">
            <w:r>
              <w:lastRenderedPageBreak/>
              <w:t>Data accessibility</w:t>
            </w:r>
          </w:p>
        </w:tc>
        <w:tc>
          <w:tcPr>
            <w:tcW w:w="6948" w:type="dxa"/>
          </w:tcPr>
          <w:p w:rsidR="00AD1B75" w:rsidRPr="009D586E" w:rsidRDefault="009D586E" w:rsidP="008422B5">
            <w:r>
              <w:t>Data with this article</w:t>
            </w:r>
          </w:p>
        </w:tc>
      </w:tr>
    </w:tbl>
    <w:p w:rsidR="00AD1B75" w:rsidRDefault="00AD1B75" w:rsidP="00AD1B75">
      <w:pPr>
        <w:spacing w:after="0"/>
      </w:pPr>
    </w:p>
    <w:p w:rsidR="006E40E7" w:rsidRDefault="00AD1B75" w:rsidP="00AD1B75">
      <w:pPr>
        <w:spacing w:after="0"/>
        <w:rPr>
          <w:b/>
        </w:rPr>
      </w:pPr>
      <w:r>
        <w:rPr>
          <w:b/>
        </w:rPr>
        <w:t>Value of the data</w:t>
      </w:r>
    </w:p>
    <w:p w:rsidR="009D586E" w:rsidRPr="00D237F1" w:rsidRDefault="009D586E" w:rsidP="006E40E7">
      <w:pPr>
        <w:pStyle w:val="Prrafodelista"/>
        <w:numPr>
          <w:ilvl w:val="0"/>
          <w:numId w:val="2"/>
        </w:numPr>
        <w:spacing w:after="0"/>
      </w:pPr>
      <w:r w:rsidRPr="00D237F1">
        <w:t xml:space="preserve">The resulting set of currency crisis dates on a monthly basis for 35 emerging market economies in the period 1990 to 2016 can be used as a benchmark for empirical studies on currency crises. </w:t>
      </w:r>
    </w:p>
    <w:p w:rsidR="006E40E7" w:rsidRPr="00D237F1" w:rsidRDefault="006E40E7" w:rsidP="006E40E7">
      <w:pPr>
        <w:pStyle w:val="Prrafodelista"/>
        <w:numPr>
          <w:ilvl w:val="0"/>
          <w:numId w:val="2"/>
        </w:numPr>
        <w:spacing w:after="0"/>
      </w:pPr>
      <w:r w:rsidRPr="00D237F1">
        <w:t xml:space="preserve">The </w:t>
      </w:r>
      <w:r w:rsidR="005F4B1B">
        <w:t xml:space="preserve">spreadsheet </w:t>
      </w:r>
      <w:r w:rsidRPr="00D237F1">
        <w:t>to construct th</w:t>
      </w:r>
      <w:r w:rsidRPr="00D237F1">
        <w:t>e currency crisis dummy variables</w:t>
      </w:r>
      <w:r w:rsidRPr="00D237F1">
        <w:t xml:space="preserve"> </w:t>
      </w:r>
      <w:r w:rsidR="005F4B1B">
        <w:t>is included, in two versions</w:t>
      </w:r>
      <w:proofErr w:type="gramStart"/>
      <w:r w:rsidR="005F4B1B">
        <w:t xml:space="preserve">. </w:t>
      </w:r>
      <w:proofErr w:type="gramEnd"/>
      <w:r w:rsidR="005F4B1B">
        <w:t>The first (CCdefs_results.xls) contains the results, and the second (CCdefs_calculations.xlsm) contains the links, macro’s and formulas</w:t>
      </w:r>
      <w:r w:rsidRPr="00D237F1">
        <w:t>. Th</w:t>
      </w:r>
      <w:r w:rsidR="005F4B1B">
        <w:t xml:space="preserve">e latter </w:t>
      </w:r>
      <w:r w:rsidRPr="00D237F1">
        <w:t xml:space="preserve">is very useful </w:t>
      </w:r>
      <w:r w:rsidRPr="00D237F1">
        <w:t>to extend the country base. The spreadsheet contains a brief description in the first sheet</w:t>
      </w:r>
      <w:r w:rsidRPr="00D237F1">
        <w:t xml:space="preserve">, including instructions on how to deal with the </w:t>
      </w:r>
      <w:proofErr w:type="gramStart"/>
      <w:r w:rsidRPr="00D237F1">
        <w:t>macro’s</w:t>
      </w:r>
      <w:proofErr w:type="gramEnd"/>
      <w:r w:rsidRPr="00D237F1">
        <w:t xml:space="preserve">. </w:t>
      </w:r>
      <w:r w:rsidR="00A405D9" w:rsidRPr="00D237F1">
        <w:t xml:space="preserve">The country selection is focused on Latin America, Central and Eastern Europe and the former Soviet republics and Asia. </w:t>
      </w:r>
      <w:proofErr w:type="spellStart"/>
      <w:r w:rsidR="00A405D9" w:rsidRPr="00D237F1">
        <w:t>Subsaharan</w:t>
      </w:r>
      <w:proofErr w:type="spellEnd"/>
      <w:r w:rsidR="00A405D9" w:rsidRPr="00D237F1">
        <w:t xml:space="preserve"> Africa and Middle East and North Africa are not represented extensively, so here is a great opportunity to extend the database. </w:t>
      </w:r>
      <w:r w:rsidR="002641AB">
        <w:t xml:space="preserve">This would not only increase the value of the database as the benchmark, but it would also be a good robustness check for the methodology to identify currency crises. </w:t>
      </w:r>
    </w:p>
    <w:p w:rsidR="009D586E" w:rsidRPr="00D237F1" w:rsidRDefault="006E40E7" w:rsidP="009D586E">
      <w:pPr>
        <w:pStyle w:val="Prrafodelista"/>
        <w:numPr>
          <w:ilvl w:val="0"/>
          <w:numId w:val="2"/>
        </w:numPr>
        <w:spacing w:after="0"/>
      </w:pPr>
      <w:r w:rsidRPr="00D237F1">
        <w:t>T</w:t>
      </w:r>
      <w:r w:rsidRPr="00D237F1">
        <w:t xml:space="preserve">he narrative </w:t>
      </w:r>
      <w:r w:rsidRPr="00D237F1">
        <w:t xml:space="preserve">is </w:t>
      </w:r>
      <w:r w:rsidRPr="00D237F1">
        <w:t>useful for anyone interested in the episodes of high turbulence in the exchange rate markets of the 35 countries that are included in the sample.</w:t>
      </w:r>
      <w:r w:rsidRPr="00D237F1">
        <w:t xml:space="preserve"> </w:t>
      </w:r>
      <w:r w:rsidR="009D586E" w:rsidRPr="00D237F1">
        <w:t xml:space="preserve">A brief description of each historical event increases the understanding, and may improve analysis.  </w:t>
      </w:r>
    </w:p>
    <w:p w:rsidR="006E40E7" w:rsidRPr="00D237F1" w:rsidRDefault="009D586E" w:rsidP="009D586E">
      <w:pPr>
        <w:pStyle w:val="Prrafodelista"/>
        <w:numPr>
          <w:ilvl w:val="0"/>
          <w:numId w:val="2"/>
        </w:numPr>
        <w:spacing w:after="0"/>
      </w:pPr>
      <w:r w:rsidRPr="00D237F1">
        <w:t>The list of</w:t>
      </w:r>
      <w:r w:rsidR="006E40E7" w:rsidRPr="00D237F1">
        <w:t xml:space="preserve"> alternative currency crisis definitions </w:t>
      </w:r>
      <w:r w:rsidRPr="00D237F1">
        <w:t xml:space="preserve">covers definitions from over 70 studies </w:t>
      </w:r>
      <w:r w:rsidR="006E40E7" w:rsidRPr="00D237F1">
        <w:t xml:space="preserve">and can be helpful to anyone interested in the different definitions that are being used in the literature.  </w:t>
      </w:r>
    </w:p>
    <w:p w:rsidR="00AD1B75" w:rsidRPr="00D237F1" w:rsidRDefault="00AD1B75" w:rsidP="00AD1B75">
      <w:pPr>
        <w:spacing w:after="0"/>
      </w:pPr>
    </w:p>
    <w:p w:rsidR="00AD1B75" w:rsidRPr="00D237F1" w:rsidRDefault="00AD1B75" w:rsidP="00AD1B75">
      <w:pPr>
        <w:spacing w:after="0"/>
        <w:rPr>
          <w:b/>
        </w:rPr>
      </w:pPr>
      <w:r w:rsidRPr="00D237F1">
        <w:rPr>
          <w:b/>
        </w:rPr>
        <w:t>Data</w:t>
      </w:r>
    </w:p>
    <w:p w:rsidR="00441D9C" w:rsidRPr="00D237F1" w:rsidRDefault="00441D9C" w:rsidP="00441D9C">
      <w:pPr>
        <w:autoSpaceDE w:val="0"/>
        <w:autoSpaceDN w:val="0"/>
        <w:adjustRightInd w:val="0"/>
        <w:spacing w:after="0" w:line="360" w:lineRule="auto"/>
        <w:rPr>
          <w:rFonts w:cs="CMR12"/>
          <w:u w:val="single"/>
          <w:lang w:val="es-MX"/>
        </w:rPr>
      </w:pPr>
      <w:r w:rsidRPr="00D237F1">
        <w:rPr>
          <w:rFonts w:cs="CMR12"/>
          <w:u w:val="single"/>
          <w:lang w:val="es-MX"/>
        </w:rPr>
        <w:t>C</w:t>
      </w:r>
      <w:r w:rsidRPr="00D237F1">
        <w:rPr>
          <w:rFonts w:cs="CMR12"/>
          <w:u w:val="single"/>
          <w:lang w:val="es-MX"/>
        </w:rPr>
        <w:t xml:space="preserve">ountry </w:t>
      </w:r>
      <w:proofErr w:type="spellStart"/>
      <w:r w:rsidRPr="00D237F1">
        <w:rPr>
          <w:rFonts w:cs="CMR12"/>
          <w:u w:val="single"/>
          <w:lang w:val="es-MX"/>
        </w:rPr>
        <w:t>selection</w:t>
      </w:r>
      <w:proofErr w:type="spellEnd"/>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38"/>
        <w:gridCol w:w="1618"/>
        <w:gridCol w:w="1418"/>
        <w:gridCol w:w="1417"/>
      </w:tblGrid>
      <w:tr w:rsidR="00441D9C" w:rsidRPr="00D237F1" w:rsidTr="008422B5">
        <w:trPr>
          <w:jc w:val="center"/>
        </w:trPr>
        <w:tc>
          <w:tcPr>
            <w:tcW w:w="513" w:type="dxa"/>
          </w:tcPr>
          <w:p w:rsidR="00441D9C" w:rsidRPr="00D237F1" w:rsidRDefault="00441D9C" w:rsidP="008422B5">
            <w:pPr>
              <w:spacing w:after="0" w:line="360" w:lineRule="auto"/>
              <w:jc w:val="both"/>
              <w:rPr>
                <w:b/>
              </w:rPr>
            </w:pPr>
          </w:p>
        </w:tc>
        <w:tc>
          <w:tcPr>
            <w:tcW w:w="1838" w:type="dxa"/>
          </w:tcPr>
          <w:p w:rsidR="00441D9C" w:rsidRPr="00D237F1" w:rsidRDefault="00441D9C" w:rsidP="008422B5">
            <w:pPr>
              <w:spacing w:after="0" w:line="360" w:lineRule="auto"/>
              <w:jc w:val="both"/>
              <w:rPr>
                <w:b/>
              </w:rPr>
            </w:pPr>
            <w:r w:rsidRPr="00D237F1">
              <w:rPr>
                <w:b/>
              </w:rPr>
              <w:t>Latin America &amp; Caribbean</w:t>
            </w:r>
          </w:p>
        </w:tc>
        <w:tc>
          <w:tcPr>
            <w:tcW w:w="1618" w:type="dxa"/>
          </w:tcPr>
          <w:p w:rsidR="00441D9C" w:rsidRPr="00D237F1" w:rsidRDefault="00441D9C" w:rsidP="008422B5">
            <w:pPr>
              <w:spacing w:after="0" w:line="360" w:lineRule="auto"/>
              <w:jc w:val="both"/>
              <w:rPr>
                <w:b/>
              </w:rPr>
            </w:pPr>
            <w:r w:rsidRPr="00D237F1">
              <w:rPr>
                <w:b/>
              </w:rPr>
              <w:t>CEE</w:t>
            </w:r>
            <w:r w:rsidRPr="00D237F1">
              <w:rPr>
                <w:rStyle w:val="Refdenotaalpie"/>
                <w:b/>
              </w:rPr>
              <w:footnoteReference w:id="1"/>
            </w:r>
            <w:r w:rsidRPr="00D237F1">
              <w:rPr>
                <w:b/>
              </w:rPr>
              <w:t xml:space="preserve"> and CIS</w:t>
            </w:r>
            <w:r w:rsidRPr="00D237F1">
              <w:rPr>
                <w:rStyle w:val="Refdenotaalpie"/>
                <w:b/>
              </w:rPr>
              <w:footnoteReference w:id="2"/>
            </w:r>
            <w:r w:rsidRPr="00D237F1">
              <w:rPr>
                <w:b/>
              </w:rPr>
              <w:t xml:space="preserve"> </w:t>
            </w:r>
          </w:p>
        </w:tc>
        <w:tc>
          <w:tcPr>
            <w:tcW w:w="1418" w:type="dxa"/>
          </w:tcPr>
          <w:p w:rsidR="00441D9C" w:rsidRPr="00D237F1" w:rsidRDefault="00441D9C" w:rsidP="008422B5">
            <w:pPr>
              <w:spacing w:after="0" w:line="360" w:lineRule="auto"/>
              <w:jc w:val="both"/>
              <w:rPr>
                <w:b/>
              </w:rPr>
            </w:pPr>
            <w:r w:rsidRPr="00D237F1">
              <w:rPr>
                <w:b/>
              </w:rPr>
              <w:t>Asia</w:t>
            </w:r>
          </w:p>
        </w:tc>
        <w:tc>
          <w:tcPr>
            <w:tcW w:w="1417" w:type="dxa"/>
          </w:tcPr>
          <w:p w:rsidR="00441D9C" w:rsidRPr="00D237F1" w:rsidRDefault="00441D9C" w:rsidP="008422B5">
            <w:pPr>
              <w:spacing w:after="0" w:line="360" w:lineRule="auto"/>
              <w:jc w:val="both"/>
              <w:rPr>
                <w:b/>
              </w:rPr>
            </w:pPr>
            <w:r w:rsidRPr="00D237F1">
              <w:rPr>
                <w:b/>
              </w:rPr>
              <w:t>Rest of the world</w:t>
            </w: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1</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Argentina</w:t>
            </w:r>
          </w:p>
        </w:tc>
        <w:tc>
          <w:tcPr>
            <w:tcW w:w="161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Bulgaria</w:t>
            </w:r>
          </w:p>
        </w:tc>
        <w:tc>
          <w:tcPr>
            <w:tcW w:w="1418"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India</w:t>
            </w:r>
          </w:p>
        </w:tc>
        <w:tc>
          <w:tcPr>
            <w:tcW w:w="1417"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Egypt</w:t>
            </w: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2</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Bolivia</w:t>
            </w:r>
          </w:p>
        </w:tc>
        <w:tc>
          <w:tcPr>
            <w:tcW w:w="161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Croatia</w:t>
            </w:r>
          </w:p>
        </w:tc>
        <w:tc>
          <w:tcPr>
            <w:tcW w:w="1418"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Indonesia</w:t>
            </w:r>
          </w:p>
        </w:tc>
        <w:tc>
          <w:tcPr>
            <w:tcW w:w="1417"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South Africa</w:t>
            </w: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3</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Brazil</w:t>
            </w:r>
          </w:p>
        </w:tc>
        <w:tc>
          <w:tcPr>
            <w:tcW w:w="161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Czech Republic</w:t>
            </w:r>
          </w:p>
        </w:tc>
        <w:tc>
          <w:tcPr>
            <w:tcW w:w="1418"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Korea</w:t>
            </w:r>
          </w:p>
        </w:tc>
        <w:tc>
          <w:tcPr>
            <w:tcW w:w="1417"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Turkey</w:t>
            </w: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4</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 xml:space="preserve">Chile </w:t>
            </w:r>
          </w:p>
        </w:tc>
        <w:tc>
          <w:tcPr>
            <w:tcW w:w="161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Hungary</w:t>
            </w:r>
          </w:p>
        </w:tc>
        <w:tc>
          <w:tcPr>
            <w:tcW w:w="1418"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Malaysia</w:t>
            </w:r>
          </w:p>
        </w:tc>
        <w:tc>
          <w:tcPr>
            <w:tcW w:w="1417" w:type="dxa"/>
          </w:tcPr>
          <w:p w:rsidR="00441D9C" w:rsidRPr="00D237F1" w:rsidRDefault="00441D9C" w:rsidP="008422B5">
            <w:pPr>
              <w:spacing w:after="0" w:line="360" w:lineRule="auto"/>
              <w:jc w:val="both"/>
              <w:rPr>
                <w:rFonts w:eastAsia="Times New Roman" w:cs="Times New Roman"/>
                <w:color w:val="000000"/>
              </w:rPr>
            </w:pP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5</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Colombia</w:t>
            </w:r>
          </w:p>
        </w:tc>
        <w:tc>
          <w:tcPr>
            <w:tcW w:w="161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Kazakhstan</w:t>
            </w:r>
          </w:p>
        </w:tc>
        <w:tc>
          <w:tcPr>
            <w:tcW w:w="1418"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Pakistan</w:t>
            </w:r>
          </w:p>
        </w:tc>
        <w:tc>
          <w:tcPr>
            <w:tcW w:w="1417" w:type="dxa"/>
          </w:tcPr>
          <w:p w:rsidR="00441D9C" w:rsidRPr="00D237F1" w:rsidRDefault="00441D9C" w:rsidP="008422B5">
            <w:pPr>
              <w:spacing w:after="0" w:line="360" w:lineRule="auto"/>
              <w:jc w:val="both"/>
              <w:rPr>
                <w:rFonts w:eastAsia="Times New Roman" w:cs="Times New Roman"/>
                <w:color w:val="000000"/>
              </w:rPr>
            </w:pP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6</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Costa Rica</w:t>
            </w:r>
          </w:p>
        </w:tc>
        <w:tc>
          <w:tcPr>
            <w:tcW w:w="161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Poland</w:t>
            </w:r>
          </w:p>
        </w:tc>
        <w:tc>
          <w:tcPr>
            <w:tcW w:w="1418"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Philippines</w:t>
            </w:r>
          </w:p>
        </w:tc>
        <w:tc>
          <w:tcPr>
            <w:tcW w:w="1417" w:type="dxa"/>
          </w:tcPr>
          <w:p w:rsidR="00441D9C" w:rsidRPr="00D237F1" w:rsidRDefault="00441D9C" w:rsidP="008422B5">
            <w:pPr>
              <w:spacing w:after="0" w:line="360" w:lineRule="auto"/>
              <w:jc w:val="both"/>
              <w:rPr>
                <w:rFonts w:eastAsia="Times New Roman" w:cs="Times New Roman"/>
                <w:color w:val="000000"/>
              </w:rPr>
            </w:pP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7</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Dominican Republic</w:t>
            </w:r>
          </w:p>
        </w:tc>
        <w:tc>
          <w:tcPr>
            <w:tcW w:w="161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Romania</w:t>
            </w:r>
          </w:p>
        </w:tc>
        <w:tc>
          <w:tcPr>
            <w:tcW w:w="1418"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Sri Lanka</w:t>
            </w:r>
          </w:p>
        </w:tc>
        <w:tc>
          <w:tcPr>
            <w:tcW w:w="1417" w:type="dxa"/>
          </w:tcPr>
          <w:p w:rsidR="00441D9C" w:rsidRPr="00D237F1" w:rsidRDefault="00441D9C" w:rsidP="008422B5">
            <w:pPr>
              <w:spacing w:after="0" w:line="360" w:lineRule="auto"/>
              <w:jc w:val="both"/>
              <w:rPr>
                <w:rFonts w:eastAsia="Times New Roman" w:cs="Times New Roman"/>
                <w:color w:val="000000"/>
              </w:rPr>
            </w:pP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lastRenderedPageBreak/>
              <w:t>8</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Guatemala</w:t>
            </w:r>
          </w:p>
        </w:tc>
        <w:tc>
          <w:tcPr>
            <w:tcW w:w="161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Russia</w:t>
            </w:r>
          </w:p>
        </w:tc>
        <w:tc>
          <w:tcPr>
            <w:tcW w:w="1418"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Thailand</w:t>
            </w:r>
          </w:p>
        </w:tc>
        <w:tc>
          <w:tcPr>
            <w:tcW w:w="1417" w:type="dxa"/>
          </w:tcPr>
          <w:p w:rsidR="00441D9C" w:rsidRPr="00D237F1" w:rsidRDefault="00441D9C" w:rsidP="008422B5">
            <w:pPr>
              <w:spacing w:after="0" w:line="360" w:lineRule="auto"/>
              <w:jc w:val="both"/>
              <w:rPr>
                <w:rFonts w:eastAsia="Times New Roman" w:cs="Times New Roman"/>
                <w:color w:val="000000"/>
              </w:rPr>
            </w:pP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9</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Jamaica</w:t>
            </w:r>
          </w:p>
        </w:tc>
        <w:tc>
          <w:tcPr>
            <w:tcW w:w="161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Ukraine</w:t>
            </w:r>
          </w:p>
        </w:tc>
        <w:tc>
          <w:tcPr>
            <w:tcW w:w="1418"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Vietnam</w:t>
            </w:r>
          </w:p>
        </w:tc>
        <w:tc>
          <w:tcPr>
            <w:tcW w:w="1417" w:type="dxa"/>
          </w:tcPr>
          <w:p w:rsidR="00441D9C" w:rsidRPr="00D237F1" w:rsidRDefault="00441D9C" w:rsidP="008422B5">
            <w:pPr>
              <w:spacing w:after="0" w:line="360" w:lineRule="auto"/>
              <w:jc w:val="both"/>
              <w:rPr>
                <w:rFonts w:eastAsia="Times New Roman" w:cs="Times New Roman"/>
                <w:color w:val="000000"/>
              </w:rPr>
            </w:pP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10</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Mexico</w:t>
            </w:r>
          </w:p>
        </w:tc>
        <w:tc>
          <w:tcPr>
            <w:tcW w:w="1618" w:type="dxa"/>
            <w:noWrap/>
          </w:tcPr>
          <w:p w:rsidR="00441D9C" w:rsidRPr="00D237F1" w:rsidRDefault="00441D9C" w:rsidP="008422B5">
            <w:pPr>
              <w:spacing w:after="0" w:line="360" w:lineRule="auto"/>
              <w:jc w:val="both"/>
              <w:rPr>
                <w:rFonts w:eastAsia="Times New Roman" w:cs="Times New Roman"/>
                <w:color w:val="000000"/>
              </w:rPr>
            </w:pPr>
          </w:p>
        </w:tc>
        <w:tc>
          <w:tcPr>
            <w:tcW w:w="1418" w:type="dxa"/>
          </w:tcPr>
          <w:p w:rsidR="00441D9C" w:rsidRPr="00D237F1" w:rsidRDefault="00441D9C" w:rsidP="008422B5">
            <w:pPr>
              <w:spacing w:after="0" w:line="360" w:lineRule="auto"/>
              <w:jc w:val="both"/>
              <w:rPr>
                <w:rFonts w:eastAsia="Times New Roman" w:cs="Times New Roman"/>
                <w:color w:val="000000"/>
              </w:rPr>
            </w:pPr>
          </w:p>
        </w:tc>
        <w:tc>
          <w:tcPr>
            <w:tcW w:w="1417" w:type="dxa"/>
          </w:tcPr>
          <w:p w:rsidR="00441D9C" w:rsidRPr="00D237F1" w:rsidRDefault="00441D9C" w:rsidP="008422B5">
            <w:pPr>
              <w:spacing w:after="0" w:line="360" w:lineRule="auto"/>
              <w:jc w:val="both"/>
              <w:rPr>
                <w:rFonts w:eastAsia="Times New Roman" w:cs="Times New Roman"/>
                <w:color w:val="000000"/>
              </w:rPr>
            </w:pP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11</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Paraguay</w:t>
            </w:r>
          </w:p>
        </w:tc>
        <w:tc>
          <w:tcPr>
            <w:tcW w:w="1618" w:type="dxa"/>
            <w:noWrap/>
          </w:tcPr>
          <w:p w:rsidR="00441D9C" w:rsidRPr="00D237F1" w:rsidRDefault="00441D9C" w:rsidP="008422B5">
            <w:pPr>
              <w:spacing w:after="0" w:line="360" w:lineRule="auto"/>
              <w:jc w:val="both"/>
              <w:rPr>
                <w:rFonts w:eastAsia="Times New Roman" w:cs="Times New Roman"/>
                <w:color w:val="000000"/>
              </w:rPr>
            </w:pPr>
          </w:p>
        </w:tc>
        <w:tc>
          <w:tcPr>
            <w:tcW w:w="1418" w:type="dxa"/>
          </w:tcPr>
          <w:p w:rsidR="00441D9C" w:rsidRPr="00D237F1" w:rsidRDefault="00441D9C" w:rsidP="008422B5">
            <w:pPr>
              <w:spacing w:after="0" w:line="360" w:lineRule="auto"/>
              <w:jc w:val="both"/>
              <w:rPr>
                <w:rFonts w:eastAsia="Times New Roman" w:cs="Times New Roman"/>
                <w:color w:val="000000"/>
              </w:rPr>
            </w:pPr>
          </w:p>
        </w:tc>
        <w:tc>
          <w:tcPr>
            <w:tcW w:w="1417" w:type="dxa"/>
          </w:tcPr>
          <w:p w:rsidR="00441D9C" w:rsidRPr="00D237F1" w:rsidRDefault="00441D9C" w:rsidP="008422B5">
            <w:pPr>
              <w:spacing w:after="0" w:line="360" w:lineRule="auto"/>
              <w:jc w:val="both"/>
              <w:rPr>
                <w:rFonts w:eastAsia="Times New Roman" w:cs="Times New Roman"/>
                <w:color w:val="000000"/>
              </w:rPr>
            </w:pP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12</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Peru</w:t>
            </w:r>
          </w:p>
        </w:tc>
        <w:tc>
          <w:tcPr>
            <w:tcW w:w="1618" w:type="dxa"/>
            <w:noWrap/>
          </w:tcPr>
          <w:p w:rsidR="00441D9C" w:rsidRPr="00D237F1" w:rsidRDefault="00441D9C" w:rsidP="008422B5">
            <w:pPr>
              <w:spacing w:after="0" w:line="360" w:lineRule="auto"/>
              <w:jc w:val="both"/>
              <w:rPr>
                <w:rFonts w:eastAsia="Times New Roman" w:cs="Times New Roman"/>
                <w:color w:val="000000"/>
              </w:rPr>
            </w:pPr>
          </w:p>
        </w:tc>
        <w:tc>
          <w:tcPr>
            <w:tcW w:w="1418" w:type="dxa"/>
          </w:tcPr>
          <w:p w:rsidR="00441D9C" w:rsidRPr="00D237F1" w:rsidRDefault="00441D9C" w:rsidP="008422B5">
            <w:pPr>
              <w:spacing w:after="0" w:line="360" w:lineRule="auto"/>
              <w:jc w:val="both"/>
              <w:rPr>
                <w:rFonts w:eastAsia="Times New Roman" w:cs="Times New Roman"/>
                <w:color w:val="000000"/>
              </w:rPr>
            </w:pPr>
          </w:p>
        </w:tc>
        <w:tc>
          <w:tcPr>
            <w:tcW w:w="1417" w:type="dxa"/>
          </w:tcPr>
          <w:p w:rsidR="00441D9C" w:rsidRPr="00D237F1" w:rsidRDefault="00441D9C" w:rsidP="008422B5">
            <w:pPr>
              <w:spacing w:after="0" w:line="360" w:lineRule="auto"/>
              <w:jc w:val="both"/>
              <w:rPr>
                <w:rFonts w:eastAsia="Times New Roman" w:cs="Times New Roman"/>
                <w:color w:val="000000"/>
              </w:rPr>
            </w:pP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13</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Uruguay</w:t>
            </w:r>
          </w:p>
        </w:tc>
        <w:tc>
          <w:tcPr>
            <w:tcW w:w="1618" w:type="dxa"/>
            <w:noWrap/>
          </w:tcPr>
          <w:p w:rsidR="00441D9C" w:rsidRPr="00D237F1" w:rsidRDefault="00441D9C" w:rsidP="008422B5">
            <w:pPr>
              <w:spacing w:after="0" w:line="360" w:lineRule="auto"/>
              <w:jc w:val="both"/>
              <w:rPr>
                <w:rFonts w:eastAsia="Times New Roman" w:cs="Times New Roman"/>
                <w:color w:val="000000"/>
              </w:rPr>
            </w:pPr>
          </w:p>
        </w:tc>
        <w:tc>
          <w:tcPr>
            <w:tcW w:w="1418" w:type="dxa"/>
          </w:tcPr>
          <w:p w:rsidR="00441D9C" w:rsidRPr="00D237F1" w:rsidRDefault="00441D9C" w:rsidP="008422B5">
            <w:pPr>
              <w:spacing w:after="0" w:line="360" w:lineRule="auto"/>
              <w:jc w:val="both"/>
              <w:rPr>
                <w:rFonts w:eastAsia="Times New Roman" w:cs="Times New Roman"/>
                <w:color w:val="000000"/>
              </w:rPr>
            </w:pPr>
          </w:p>
        </w:tc>
        <w:tc>
          <w:tcPr>
            <w:tcW w:w="1417" w:type="dxa"/>
          </w:tcPr>
          <w:p w:rsidR="00441D9C" w:rsidRPr="00D237F1" w:rsidRDefault="00441D9C" w:rsidP="008422B5">
            <w:pPr>
              <w:spacing w:after="0" w:line="360" w:lineRule="auto"/>
              <w:jc w:val="both"/>
              <w:rPr>
                <w:rFonts w:eastAsia="Times New Roman" w:cs="Times New Roman"/>
                <w:color w:val="000000"/>
              </w:rPr>
            </w:pPr>
          </w:p>
        </w:tc>
      </w:tr>
      <w:tr w:rsidR="00441D9C" w:rsidRPr="00D237F1" w:rsidTr="008422B5">
        <w:trPr>
          <w:trHeight w:val="300"/>
          <w:jc w:val="center"/>
        </w:trPr>
        <w:tc>
          <w:tcPr>
            <w:tcW w:w="513" w:type="dxa"/>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14</w:t>
            </w:r>
          </w:p>
        </w:tc>
        <w:tc>
          <w:tcPr>
            <w:tcW w:w="1838" w:type="dxa"/>
            <w:noWrap/>
          </w:tcPr>
          <w:p w:rsidR="00441D9C" w:rsidRPr="00D237F1" w:rsidRDefault="00441D9C" w:rsidP="008422B5">
            <w:pPr>
              <w:spacing w:after="0" w:line="360" w:lineRule="auto"/>
              <w:jc w:val="both"/>
              <w:rPr>
                <w:rFonts w:eastAsia="Times New Roman" w:cs="Times New Roman"/>
                <w:color w:val="000000"/>
              </w:rPr>
            </w:pPr>
            <w:r w:rsidRPr="00D237F1">
              <w:rPr>
                <w:rFonts w:eastAsia="Times New Roman" w:cs="Times New Roman"/>
                <w:color w:val="000000"/>
              </w:rPr>
              <w:t>Venezuela</w:t>
            </w:r>
          </w:p>
        </w:tc>
        <w:tc>
          <w:tcPr>
            <w:tcW w:w="1618" w:type="dxa"/>
            <w:noWrap/>
          </w:tcPr>
          <w:p w:rsidR="00441D9C" w:rsidRPr="00D237F1" w:rsidRDefault="00441D9C" w:rsidP="008422B5">
            <w:pPr>
              <w:spacing w:after="0" w:line="360" w:lineRule="auto"/>
              <w:jc w:val="both"/>
              <w:rPr>
                <w:rFonts w:eastAsia="Times New Roman" w:cs="Times New Roman"/>
                <w:color w:val="000000"/>
              </w:rPr>
            </w:pPr>
          </w:p>
        </w:tc>
        <w:tc>
          <w:tcPr>
            <w:tcW w:w="1418" w:type="dxa"/>
          </w:tcPr>
          <w:p w:rsidR="00441D9C" w:rsidRPr="00D237F1" w:rsidRDefault="00441D9C" w:rsidP="008422B5">
            <w:pPr>
              <w:spacing w:after="0" w:line="360" w:lineRule="auto"/>
              <w:jc w:val="both"/>
              <w:rPr>
                <w:rFonts w:eastAsia="Times New Roman" w:cs="Times New Roman"/>
                <w:color w:val="000000"/>
              </w:rPr>
            </w:pPr>
          </w:p>
        </w:tc>
        <w:tc>
          <w:tcPr>
            <w:tcW w:w="1417" w:type="dxa"/>
          </w:tcPr>
          <w:p w:rsidR="00441D9C" w:rsidRPr="00D237F1" w:rsidRDefault="00441D9C" w:rsidP="008422B5">
            <w:pPr>
              <w:spacing w:after="0" w:line="360" w:lineRule="auto"/>
              <w:jc w:val="both"/>
              <w:rPr>
                <w:rFonts w:eastAsia="Times New Roman" w:cs="Times New Roman"/>
                <w:color w:val="000000"/>
              </w:rPr>
            </w:pPr>
          </w:p>
        </w:tc>
      </w:tr>
    </w:tbl>
    <w:p w:rsidR="00441D9C" w:rsidRPr="00D237F1" w:rsidRDefault="00441D9C" w:rsidP="00AD1B75">
      <w:pPr>
        <w:spacing w:after="0"/>
        <w:rPr>
          <w:b/>
        </w:rPr>
      </w:pPr>
    </w:p>
    <w:p w:rsidR="00AD1B75" w:rsidRPr="00D237F1" w:rsidRDefault="00B94659" w:rsidP="00AD1B75">
      <w:pPr>
        <w:spacing w:after="0"/>
        <w:rPr>
          <w:u w:val="single"/>
        </w:rPr>
      </w:pPr>
      <w:r w:rsidRPr="00D237F1">
        <w:rPr>
          <w:u w:val="single"/>
        </w:rPr>
        <w:t>Part I: quantitative definitions</w:t>
      </w:r>
    </w:p>
    <w:p w:rsidR="00F7717D" w:rsidRDefault="00F7717D" w:rsidP="00F7717D">
      <w:pPr>
        <w:spacing w:after="0"/>
      </w:pPr>
      <w:r>
        <w:t xml:space="preserve">Dataset on exchange rates, reserves, interest rates and EMPI: </w:t>
      </w:r>
    </w:p>
    <w:p w:rsidR="00B94659" w:rsidRDefault="00B94659" w:rsidP="00105E76">
      <w:pPr>
        <w:pStyle w:val="Prrafodelista"/>
        <w:numPr>
          <w:ilvl w:val="0"/>
          <w:numId w:val="4"/>
        </w:numPr>
        <w:spacing w:after="0"/>
      </w:pPr>
      <w:r>
        <w:t xml:space="preserve">Nominal exchange rate versus US dollar (and versus DEM or euro for the CEE countries) at the end of the month. </w:t>
      </w:r>
      <w:r>
        <w:t xml:space="preserve">Source: International Finance Statistics (IFS) from IMF. </w:t>
      </w:r>
    </w:p>
    <w:p w:rsidR="00B94659" w:rsidRDefault="00B94659" w:rsidP="00105E76">
      <w:pPr>
        <w:pStyle w:val="Prrafodelista"/>
        <w:numPr>
          <w:ilvl w:val="0"/>
          <w:numId w:val="4"/>
        </w:numPr>
        <w:spacing w:after="0"/>
      </w:pPr>
      <w:r>
        <w:t xml:space="preserve">Consumer Price Index for all items. </w:t>
      </w:r>
      <w:r>
        <w:t>Source: IFS</w:t>
      </w:r>
    </w:p>
    <w:p w:rsidR="00B94659" w:rsidRDefault="00B94659" w:rsidP="00105E76">
      <w:pPr>
        <w:pStyle w:val="Prrafodelista"/>
        <w:numPr>
          <w:ilvl w:val="0"/>
          <w:numId w:val="4"/>
        </w:numPr>
        <w:spacing w:after="0"/>
      </w:pPr>
      <w:r>
        <w:t xml:space="preserve">International reserves excluding gold (measured in current US dollar). </w:t>
      </w:r>
      <w:r>
        <w:t xml:space="preserve">Source: IFS. </w:t>
      </w:r>
    </w:p>
    <w:p w:rsidR="00211D30" w:rsidRDefault="00B94659" w:rsidP="00105E76">
      <w:pPr>
        <w:pStyle w:val="Prrafodelista"/>
        <w:numPr>
          <w:ilvl w:val="0"/>
          <w:numId w:val="4"/>
        </w:numPr>
        <w:spacing w:after="0"/>
      </w:pPr>
      <w:r>
        <w:t>Money market interest rate</w:t>
      </w:r>
      <w:r w:rsidR="00211D30">
        <w:t>. Source: IFS</w:t>
      </w:r>
    </w:p>
    <w:p w:rsidR="00211D30" w:rsidRDefault="00B94659" w:rsidP="00105E76">
      <w:pPr>
        <w:pStyle w:val="Prrafodelista"/>
        <w:numPr>
          <w:ilvl w:val="0"/>
          <w:numId w:val="4"/>
        </w:numPr>
        <w:spacing w:after="0"/>
      </w:pPr>
      <w:r>
        <w:t>Treasury bill rate</w:t>
      </w:r>
      <w:r w:rsidR="00211D30">
        <w:t>. Source: IFS</w:t>
      </w:r>
    </w:p>
    <w:p w:rsidR="00FC7F3B" w:rsidRDefault="00FC7F3B" w:rsidP="00AD1B75">
      <w:pPr>
        <w:spacing w:after="0"/>
      </w:pPr>
    </w:p>
    <w:p w:rsidR="00F7717D" w:rsidRDefault="00F7717D" w:rsidP="00F7717D">
      <w:pPr>
        <w:spacing w:after="0"/>
      </w:pPr>
      <w:r>
        <w:t>D</w:t>
      </w:r>
      <w:r>
        <w:t xml:space="preserve">ataset </w:t>
      </w:r>
      <w:r>
        <w:t>on exchange rate regimes</w:t>
      </w:r>
    </w:p>
    <w:p w:rsidR="00F7717D" w:rsidRDefault="00F7717D" w:rsidP="00F7717D">
      <w:pPr>
        <w:pStyle w:val="Prrafodelista"/>
        <w:numPr>
          <w:ilvl w:val="0"/>
          <w:numId w:val="4"/>
        </w:numPr>
        <w:spacing w:after="0"/>
      </w:pPr>
      <w:r>
        <w:t>Source:</w:t>
      </w:r>
      <w:r>
        <w:t xml:space="preserve"> </w:t>
      </w:r>
      <w:proofErr w:type="spellStart"/>
      <w:r>
        <w:t>Ilzetzki</w:t>
      </w:r>
      <w:proofErr w:type="spellEnd"/>
      <w:r>
        <w:t>, Reinhart and Rogoff (2016)</w:t>
      </w:r>
      <w:r>
        <w:t xml:space="preserve">, available in the website from Reinhart (link: </w:t>
      </w:r>
      <w:hyperlink r:id="rId8" w:history="1">
        <w:r w:rsidRPr="0091557E">
          <w:rPr>
            <w:rStyle w:val="Hipervnculo"/>
          </w:rPr>
          <w:t>http://www.carmenreinhart.com/data/browse-by-topic/topics/11/</w:t>
        </w:r>
      </w:hyperlink>
      <w:r>
        <w:t>)</w:t>
      </w:r>
      <w:r>
        <w:t xml:space="preserve">. </w:t>
      </w:r>
    </w:p>
    <w:p w:rsidR="00D80F1D" w:rsidRDefault="00D80F1D" w:rsidP="00AD1B75">
      <w:pPr>
        <w:spacing w:after="0"/>
        <w:rPr>
          <w:u w:val="single"/>
        </w:rPr>
      </w:pPr>
    </w:p>
    <w:p w:rsidR="00D80F1D" w:rsidRDefault="00D80F1D" w:rsidP="00AD1B75">
      <w:pPr>
        <w:spacing w:after="0"/>
        <w:rPr>
          <w:u w:val="single"/>
        </w:rPr>
      </w:pPr>
    </w:p>
    <w:p w:rsidR="00F7717D" w:rsidRPr="00F7717D" w:rsidRDefault="00F7717D" w:rsidP="00AD1B75">
      <w:pPr>
        <w:spacing w:after="0"/>
        <w:rPr>
          <w:u w:val="single"/>
        </w:rPr>
      </w:pPr>
      <w:r w:rsidRPr="00F7717D">
        <w:rPr>
          <w:u w:val="single"/>
        </w:rPr>
        <w:t>Part II: narrative</w:t>
      </w:r>
    </w:p>
    <w:p w:rsidR="00F7717D" w:rsidRDefault="00241BEA" w:rsidP="00AD1B75">
      <w:pPr>
        <w:spacing w:after="0"/>
      </w:pPr>
      <w:r>
        <w:t>The attached word file contains the narrative</w:t>
      </w:r>
      <w:r w:rsidR="00D80F1D">
        <w:t xml:space="preserve"> (26 pages in total)</w:t>
      </w:r>
      <w:r>
        <w:t xml:space="preserve">. </w:t>
      </w:r>
    </w:p>
    <w:p w:rsidR="00241BEA" w:rsidRDefault="00241BEA" w:rsidP="00AD1B75">
      <w:pPr>
        <w:spacing w:after="0"/>
      </w:pPr>
    </w:p>
    <w:p w:rsidR="00241BEA" w:rsidRDefault="00241BEA" w:rsidP="00AD1B75">
      <w:pPr>
        <w:spacing w:after="0"/>
      </w:pPr>
    </w:p>
    <w:p w:rsidR="00241BEA" w:rsidRPr="00241BEA" w:rsidRDefault="00241BEA" w:rsidP="00AD1B75">
      <w:pPr>
        <w:spacing w:after="0"/>
        <w:rPr>
          <w:u w:val="single"/>
        </w:rPr>
      </w:pPr>
      <w:r w:rsidRPr="00241BEA">
        <w:rPr>
          <w:u w:val="single"/>
        </w:rPr>
        <w:t>Part III: Literature</w:t>
      </w:r>
    </w:p>
    <w:p w:rsidR="00241BEA" w:rsidRDefault="00241BEA" w:rsidP="00241BEA">
      <w:pPr>
        <w:spacing w:after="0"/>
      </w:pPr>
      <w:r>
        <w:t xml:space="preserve">The attached </w:t>
      </w:r>
      <w:r>
        <w:t>excel</w:t>
      </w:r>
      <w:r>
        <w:t xml:space="preserve"> file contains </w:t>
      </w:r>
      <w:r>
        <w:t>a meta study on definitions, split into the two main categories (large depreciations and EMPI)</w:t>
      </w:r>
      <w:r>
        <w:t xml:space="preserve">. </w:t>
      </w:r>
      <w:r w:rsidR="00D80F1D">
        <w:t xml:space="preserve">In total more than 70 studies are included in the overview. </w:t>
      </w:r>
    </w:p>
    <w:p w:rsidR="00105E76" w:rsidRDefault="00105E76" w:rsidP="00AD1B75">
      <w:pPr>
        <w:spacing w:after="0"/>
      </w:pPr>
    </w:p>
    <w:p w:rsidR="00241BEA" w:rsidRDefault="00241BEA" w:rsidP="00AD1B75">
      <w:pPr>
        <w:spacing w:after="0"/>
      </w:pPr>
    </w:p>
    <w:p w:rsidR="00241BEA" w:rsidRPr="00FC7F3B" w:rsidRDefault="00241BEA" w:rsidP="00AD1B75">
      <w:pPr>
        <w:spacing w:after="0"/>
      </w:pPr>
    </w:p>
    <w:p w:rsidR="00AD1B75" w:rsidRPr="00D663AD" w:rsidRDefault="00AD1B75" w:rsidP="00AD1B75">
      <w:pPr>
        <w:spacing w:after="0"/>
        <w:rPr>
          <w:b/>
        </w:rPr>
      </w:pPr>
      <w:r>
        <w:rPr>
          <w:b/>
        </w:rPr>
        <w:t>Experimental Design, Materials and Methods</w:t>
      </w:r>
    </w:p>
    <w:p w:rsidR="00F7717D" w:rsidRPr="00B94659" w:rsidRDefault="00F7717D" w:rsidP="00F7717D">
      <w:pPr>
        <w:spacing w:after="0"/>
        <w:rPr>
          <w:u w:val="single"/>
        </w:rPr>
      </w:pPr>
      <w:r w:rsidRPr="00B94659">
        <w:rPr>
          <w:u w:val="single"/>
        </w:rPr>
        <w:t>Part I: quantitative definitions</w:t>
      </w:r>
    </w:p>
    <w:p w:rsidR="00CF2F4B" w:rsidRDefault="00CF2F4B" w:rsidP="00CF2F4B">
      <w:pPr>
        <w:spacing w:after="0"/>
      </w:pPr>
      <w:r>
        <w:t xml:space="preserve">Processing the raw data: </w:t>
      </w:r>
    </w:p>
    <w:p w:rsidR="00BA278A" w:rsidRDefault="00BA278A" w:rsidP="00BA278A">
      <w:pPr>
        <w:pStyle w:val="Prrafodelista"/>
        <w:numPr>
          <w:ilvl w:val="0"/>
          <w:numId w:val="4"/>
        </w:numPr>
        <w:spacing w:after="0"/>
      </w:pPr>
      <w:r>
        <w:t>Real exchange rate is constructed</w:t>
      </w:r>
      <w:bookmarkStart w:id="0" w:name="_GoBack"/>
      <w:bookmarkEnd w:id="0"/>
      <w:r>
        <w:t xml:space="preserve">: </w:t>
      </w:r>
      <w:proofErr w:type="spellStart"/>
      <w:r>
        <w:t>RER</w:t>
      </w:r>
      <w:r w:rsidRPr="00B94659">
        <w:rPr>
          <w:vertAlign w:val="subscript"/>
        </w:rPr>
        <w:t>i</w:t>
      </w:r>
      <w:proofErr w:type="spellEnd"/>
      <w:r w:rsidRPr="00B94659">
        <w:rPr>
          <w:vertAlign w:val="subscript"/>
        </w:rPr>
        <w:t xml:space="preserve"> </w:t>
      </w:r>
      <w:r>
        <w:t>=</w:t>
      </w:r>
      <w:proofErr w:type="spellStart"/>
      <w:r>
        <w:t>NER</w:t>
      </w:r>
      <w:r w:rsidRPr="00B94659">
        <w:rPr>
          <w:vertAlign w:val="subscript"/>
        </w:rPr>
        <w:t>i</w:t>
      </w:r>
      <w:proofErr w:type="spellEnd"/>
      <w:r>
        <w:t xml:space="preserve"> CPI</w:t>
      </w:r>
      <w:r w:rsidRPr="00B94659">
        <w:rPr>
          <w:vertAlign w:val="subscript"/>
        </w:rPr>
        <w:t>F</w:t>
      </w:r>
      <w:r>
        <w:t xml:space="preserve"> /</w:t>
      </w:r>
      <w:proofErr w:type="spellStart"/>
      <w:r>
        <w:t>CPI</w:t>
      </w:r>
      <w:r w:rsidRPr="00B94659">
        <w:rPr>
          <w:vertAlign w:val="subscript"/>
        </w:rPr>
        <w:t>i</w:t>
      </w:r>
      <w:proofErr w:type="spellEnd"/>
      <w:r>
        <w:t>, with CPI</w:t>
      </w:r>
      <w:r w:rsidRPr="00B94659">
        <w:rPr>
          <w:vertAlign w:val="subscript"/>
        </w:rPr>
        <w:t>F</w:t>
      </w:r>
      <w:r>
        <w:t xml:space="preserve"> the consumer price index for the reference country, </w:t>
      </w:r>
      <w:proofErr w:type="spellStart"/>
      <w:r>
        <w:t>NER</w:t>
      </w:r>
      <w:r w:rsidRPr="00B94659">
        <w:rPr>
          <w:vertAlign w:val="subscript"/>
        </w:rPr>
        <w:t>i</w:t>
      </w:r>
      <w:proofErr w:type="spellEnd"/>
      <w:r>
        <w:t xml:space="preserve"> the nominal exchange rate (local currency units per 1 USD), </w:t>
      </w:r>
      <w:proofErr w:type="spellStart"/>
      <w:r>
        <w:t>CPI</w:t>
      </w:r>
      <w:r w:rsidRPr="00B94659">
        <w:rPr>
          <w:vertAlign w:val="subscript"/>
        </w:rPr>
        <w:t>i</w:t>
      </w:r>
      <w:proofErr w:type="spellEnd"/>
      <w:r w:rsidRPr="00B94659">
        <w:rPr>
          <w:vertAlign w:val="subscript"/>
        </w:rPr>
        <w:t xml:space="preserve"> </w:t>
      </w:r>
      <w:r>
        <w:t xml:space="preserve">the consumer price index for the domestic country </w:t>
      </w:r>
      <w:proofErr w:type="spellStart"/>
      <w:r>
        <w:t>i</w:t>
      </w:r>
      <w:proofErr w:type="spellEnd"/>
      <w:r>
        <w:t xml:space="preserve">. </w:t>
      </w:r>
    </w:p>
    <w:p w:rsidR="00211D30" w:rsidRDefault="00211D30" w:rsidP="00211D30">
      <w:pPr>
        <w:pStyle w:val="Prrafodelista"/>
        <w:numPr>
          <w:ilvl w:val="0"/>
          <w:numId w:val="4"/>
        </w:numPr>
        <w:spacing w:after="0"/>
      </w:pPr>
      <w:r>
        <w:lastRenderedPageBreak/>
        <w:t xml:space="preserve">Interest rate: use the </w:t>
      </w:r>
      <w:r>
        <w:t xml:space="preserve">Money market interest rate, or Treasury bill rate if the first is missing. The correlation between these series is on average 0.88 for the 21 countries that contain both series. </w:t>
      </w:r>
    </w:p>
    <w:p w:rsidR="00211D30" w:rsidRDefault="00211D30" w:rsidP="00211D30">
      <w:pPr>
        <w:pStyle w:val="Prrafodelista"/>
        <w:numPr>
          <w:ilvl w:val="0"/>
          <w:numId w:val="4"/>
        </w:numPr>
        <w:spacing w:after="0"/>
      </w:pPr>
      <w:r>
        <w:t xml:space="preserve">In the case of missing observations in five or less consecutive months, we use linear interpolation. If six or more consecutive months are missing, then these months are excluded from the sample. </w:t>
      </w:r>
    </w:p>
    <w:p w:rsidR="00211D30" w:rsidRDefault="00211D30" w:rsidP="00F7717D">
      <w:pPr>
        <w:pStyle w:val="Prrafodelista"/>
        <w:numPr>
          <w:ilvl w:val="0"/>
          <w:numId w:val="4"/>
        </w:numPr>
        <w:spacing w:after="0"/>
      </w:pPr>
      <w:r>
        <w:t>The data are standardized in the EMPI definitions, using the country-specific mean and the country-specific standard deviation for the entire period (1990M1 to 2016M</w:t>
      </w:r>
      <w:proofErr w:type="gramStart"/>
      <w:r>
        <w:t>12 )</w:t>
      </w:r>
      <w:proofErr w:type="gramEnd"/>
      <w:r>
        <w:t xml:space="preserve">. </w:t>
      </w:r>
    </w:p>
    <w:p w:rsidR="00CF2F4B" w:rsidRDefault="00CF2F4B" w:rsidP="00CF2F4B">
      <w:pPr>
        <w:spacing w:after="0"/>
      </w:pPr>
    </w:p>
    <w:p w:rsidR="00CF2F4B" w:rsidRDefault="00CF2F4B" w:rsidP="00CF2F4B">
      <w:pPr>
        <w:spacing w:after="0"/>
      </w:pPr>
      <w:r>
        <w:t xml:space="preserve">Exchange rate regime: </w:t>
      </w:r>
    </w:p>
    <w:p w:rsidR="00CF2F4B" w:rsidRDefault="00CF2F4B" w:rsidP="00CF2F4B">
      <w:pPr>
        <w:pStyle w:val="Prrafodelista"/>
        <w:numPr>
          <w:ilvl w:val="0"/>
          <w:numId w:val="4"/>
        </w:numPr>
        <w:spacing w:after="0"/>
      </w:pPr>
      <w:proofErr w:type="spellStart"/>
      <w:r>
        <w:t>Ilzetzki</w:t>
      </w:r>
      <w:proofErr w:type="spellEnd"/>
      <w:r>
        <w:t xml:space="preserve"> et al. (2016) classify countries into fifteen categories: (1) no separate legal tender or currency union, (2) pre-announced peg or currency board arrangement, (3) pre-announced horizontal band that is narrower than or equal to ±2%, (4) de facto peg, (5) pre-announced crawling peg; de facto moving band narrower than or equal to +/- 1%, (6) pre-announced crawling band that is narrower than or equal to ±2% or de facto horizontal band that is narrower than or equal to +/-2%, (7) de facto crawling peg, (8) pre-announced crawling band that is wider than or equal to ±2%, (9) de facto crawling band that is narrower than or equal to ±2%, (10) de facto crawling band that is narrower than or equal to ±5%, (11) moving band that is narrower than or equal to ±2%, (12) managed floating, (13) freely floating, (14) freely falling, and (15) dual market in which parallel market data is missing. We exclude the latter category as there are no data. </w:t>
      </w:r>
    </w:p>
    <w:p w:rsidR="00CF2F4B" w:rsidRDefault="00CF2F4B" w:rsidP="00CF2F4B">
      <w:pPr>
        <w:pStyle w:val="Prrafodelista"/>
        <w:numPr>
          <w:ilvl w:val="0"/>
          <w:numId w:val="4"/>
        </w:numPr>
        <w:spacing w:after="0"/>
      </w:pPr>
      <w:r>
        <w:t xml:space="preserve">In the spirit of </w:t>
      </w:r>
      <w:proofErr w:type="spellStart"/>
      <w:r>
        <w:t>Esaka</w:t>
      </w:r>
      <w:proofErr w:type="spellEnd"/>
      <w:r>
        <w:t xml:space="preserve"> (2010) we collapse the fine classification into four categories: (</w:t>
      </w:r>
      <w:proofErr w:type="spellStart"/>
      <w:r>
        <w:t>i</w:t>
      </w:r>
      <w:proofErr w:type="spellEnd"/>
      <w:r>
        <w:t>) “hard pegs”, comprising of categories (1)-(2), (ii) “intermediate regimes”, categories (3)-(11), (iii) “floating regimes”, categories (12)-(13</w:t>
      </w:r>
      <w:proofErr w:type="gramStart"/>
      <w:r>
        <w:t>)  ,</w:t>
      </w:r>
      <w:proofErr w:type="gramEnd"/>
      <w:r>
        <w:t xml:space="preserve"> and (iv) “freely falling”, category (14).</w:t>
      </w:r>
    </w:p>
    <w:p w:rsidR="00CF2F4B" w:rsidRDefault="00CF2F4B" w:rsidP="00CF2F4B">
      <w:pPr>
        <w:spacing w:after="0"/>
      </w:pPr>
    </w:p>
    <w:p w:rsidR="00CF2F4B" w:rsidRDefault="00CF2F4B" w:rsidP="00CF2F4B">
      <w:pPr>
        <w:spacing w:after="0"/>
      </w:pPr>
      <w:r>
        <w:t>Construction of currency crisis definitions</w:t>
      </w:r>
    </w:p>
    <w:p w:rsidR="00F7717D" w:rsidRDefault="005F4B1B" w:rsidP="00F7717D">
      <w:pPr>
        <w:pStyle w:val="Prrafodelista"/>
        <w:numPr>
          <w:ilvl w:val="0"/>
          <w:numId w:val="4"/>
        </w:numPr>
        <w:spacing w:after="0"/>
      </w:pPr>
      <w:r>
        <w:t xml:space="preserve">CCdefs_results.xls: </w:t>
      </w:r>
      <w:r w:rsidR="00F7717D">
        <w:t xml:space="preserve">Spreadsheet with </w:t>
      </w:r>
      <w:r>
        <w:t xml:space="preserve">results from </w:t>
      </w:r>
      <w:r w:rsidR="00211D30">
        <w:t>currency crisis d</w:t>
      </w:r>
      <w:r>
        <w:t>ating</w:t>
      </w:r>
      <w:r w:rsidR="00211D30">
        <w:t xml:space="preserve">. </w:t>
      </w:r>
    </w:p>
    <w:p w:rsidR="005F4B1B" w:rsidRDefault="005F4B1B" w:rsidP="00F7717D">
      <w:pPr>
        <w:pStyle w:val="Prrafodelista"/>
        <w:numPr>
          <w:ilvl w:val="0"/>
          <w:numId w:val="4"/>
        </w:numPr>
        <w:spacing w:after="0"/>
      </w:pPr>
      <w:r>
        <w:t>CCdefs_</w:t>
      </w:r>
      <w:r>
        <w:t>calculations</w:t>
      </w:r>
      <w:r>
        <w:t xml:space="preserve">.xls: Spreadsheet with </w:t>
      </w:r>
      <w:r>
        <w:t xml:space="preserve">operations, including </w:t>
      </w:r>
      <w:proofErr w:type="gramStart"/>
      <w:r>
        <w:t>macro’s</w:t>
      </w:r>
      <w:proofErr w:type="gramEnd"/>
      <w:r>
        <w:t xml:space="preserve">. </w:t>
      </w:r>
    </w:p>
    <w:p w:rsidR="00AD1B75" w:rsidRDefault="00AD1B75" w:rsidP="00AD1B75">
      <w:pPr>
        <w:spacing w:after="0"/>
      </w:pPr>
    </w:p>
    <w:p w:rsidR="00AD1B75" w:rsidRDefault="00AD1B75" w:rsidP="00AD1B75">
      <w:pPr>
        <w:spacing w:after="0"/>
      </w:pPr>
    </w:p>
    <w:p w:rsidR="00AD1B75" w:rsidRPr="00594366" w:rsidRDefault="00AD1B75" w:rsidP="00AD1B75">
      <w:pPr>
        <w:spacing w:after="0"/>
        <w:rPr>
          <w:b/>
        </w:rPr>
      </w:pPr>
      <w:r>
        <w:rPr>
          <w:b/>
        </w:rPr>
        <w:t>Acknowledgements</w:t>
      </w:r>
    </w:p>
    <w:p w:rsidR="00AD1B75" w:rsidRDefault="006E40E7" w:rsidP="00AD1B75">
      <w:pPr>
        <w:spacing w:after="0"/>
      </w:pPr>
      <w:r>
        <w:t>Nicholas Bucher for research assistance</w:t>
      </w:r>
    </w:p>
    <w:p w:rsidR="006E40E7" w:rsidRDefault="006E40E7" w:rsidP="00AD1B75">
      <w:pPr>
        <w:spacing w:after="0"/>
      </w:pPr>
    </w:p>
    <w:p w:rsidR="00D237F1" w:rsidRDefault="00D237F1" w:rsidP="00AD1B75">
      <w:pPr>
        <w:spacing w:after="0"/>
      </w:pPr>
    </w:p>
    <w:p w:rsidR="00AD1B75" w:rsidRDefault="00AD1B75" w:rsidP="00AD1B75">
      <w:pPr>
        <w:spacing w:after="0"/>
        <w:rPr>
          <w:i/>
        </w:rPr>
      </w:pPr>
      <w:r w:rsidRPr="006734CF">
        <w:rPr>
          <w:b/>
        </w:rPr>
        <w:t>References</w:t>
      </w:r>
      <w:r>
        <w:rPr>
          <w:b/>
        </w:rPr>
        <w:t xml:space="preserve"> </w:t>
      </w:r>
    </w:p>
    <w:p w:rsidR="00211D30" w:rsidRDefault="00211D30" w:rsidP="000C2CC7">
      <w:pPr>
        <w:spacing w:after="0"/>
        <w:rPr>
          <w:u w:val="single"/>
        </w:rPr>
      </w:pPr>
      <w:r>
        <w:rPr>
          <w:u w:val="single"/>
        </w:rPr>
        <w:t>Part I: quantitative definitions</w:t>
      </w:r>
    </w:p>
    <w:p w:rsidR="00211D30" w:rsidRDefault="00211D30" w:rsidP="0064262B">
      <w:pPr>
        <w:spacing w:after="0"/>
      </w:pPr>
      <w:r w:rsidRPr="00211D30">
        <w:t xml:space="preserve">International Finance Statistics (IFS) from the IMF. Retrieved from </w:t>
      </w:r>
      <w:hyperlink r:id="rId9" w:history="1">
        <w:r w:rsidRPr="0091557E">
          <w:rPr>
            <w:rStyle w:val="Hipervnculo"/>
          </w:rPr>
          <w:t>https://data.imf.org/IFS</w:t>
        </w:r>
      </w:hyperlink>
      <w:r>
        <w:t xml:space="preserve"> </w:t>
      </w:r>
    </w:p>
    <w:p w:rsidR="00211D30" w:rsidRPr="00211D30" w:rsidRDefault="00211D30" w:rsidP="00211D30">
      <w:pPr>
        <w:pStyle w:val="Prrafodelista"/>
        <w:spacing w:after="0"/>
      </w:pPr>
    </w:p>
    <w:p w:rsidR="000C2CC7" w:rsidRPr="00F7717D" w:rsidRDefault="000C2CC7" w:rsidP="000C2CC7">
      <w:pPr>
        <w:spacing w:after="0"/>
        <w:rPr>
          <w:u w:val="single"/>
        </w:rPr>
      </w:pPr>
      <w:r w:rsidRPr="00F7717D">
        <w:rPr>
          <w:u w:val="single"/>
        </w:rPr>
        <w:t>Part II: narrative</w:t>
      </w:r>
    </w:p>
    <w:p w:rsidR="000C2CC7" w:rsidRDefault="00D301D6" w:rsidP="000C2CC7">
      <w:pPr>
        <w:spacing w:after="0"/>
      </w:pPr>
      <w:r>
        <w:t xml:space="preserve">More than 200. </w:t>
      </w:r>
      <w:r w:rsidR="0064262B">
        <w:t>See the attached file</w:t>
      </w:r>
    </w:p>
    <w:p w:rsidR="000C2CC7" w:rsidRDefault="000C2CC7" w:rsidP="000C2CC7">
      <w:pPr>
        <w:spacing w:after="0"/>
      </w:pPr>
    </w:p>
    <w:p w:rsidR="000C2CC7" w:rsidRPr="00241BEA" w:rsidRDefault="000C2CC7" w:rsidP="000C2CC7">
      <w:pPr>
        <w:spacing w:after="0"/>
        <w:rPr>
          <w:u w:val="single"/>
        </w:rPr>
      </w:pPr>
      <w:r w:rsidRPr="00241BEA">
        <w:rPr>
          <w:u w:val="single"/>
        </w:rPr>
        <w:t>Part III: Literature</w:t>
      </w:r>
    </w:p>
    <w:p w:rsidR="0009752F" w:rsidRPr="0009752F" w:rsidRDefault="00D301D6">
      <w:r>
        <w:t xml:space="preserve">More than 70. </w:t>
      </w:r>
      <w:r w:rsidR="0064262B">
        <w:t>See the attached file</w:t>
      </w:r>
    </w:p>
    <w:sectPr w:rsidR="0009752F" w:rsidRPr="0009752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BA3" w:rsidRDefault="00356BA3" w:rsidP="00441D9C">
      <w:pPr>
        <w:spacing w:after="0" w:line="240" w:lineRule="auto"/>
      </w:pPr>
      <w:r>
        <w:separator/>
      </w:r>
    </w:p>
  </w:endnote>
  <w:endnote w:type="continuationSeparator" w:id="0">
    <w:p w:rsidR="00356BA3" w:rsidRDefault="00356BA3" w:rsidP="0044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MR12">
    <w:altName w:val="MS Mincho"/>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BA3" w:rsidRDefault="00356BA3" w:rsidP="00441D9C">
      <w:pPr>
        <w:spacing w:after="0" w:line="240" w:lineRule="auto"/>
      </w:pPr>
      <w:r>
        <w:separator/>
      </w:r>
    </w:p>
  </w:footnote>
  <w:footnote w:type="continuationSeparator" w:id="0">
    <w:p w:rsidR="00356BA3" w:rsidRDefault="00356BA3" w:rsidP="00441D9C">
      <w:pPr>
        <w:spacing w:after="0" w:line="240" w:lineRule="auto"/>
      </w:pPr>
      <w:r>
        <w:continuationSeparator/>
      </w:r>
    </w:p>
  </w:footnote>
  <w:footnote w:id="1">
    <w:p w:rsidR="00441D9C" w:rsidRPr="007A639F" w:rsidRDefault="00441D9C" w:rsidP="00441D9C">
      <w:pPr>
        <w:pStyle w:val="Textonotapie"/>
      </w:pPr>
      <w:r w:rsidRPr="007A639F">
        <w:rPr>
          <w:rStyle w:val="Refdenotaalpie"/>
        </w:rPr>
        <w:footnoteRef/>
      </w:r>
      <w:r w:rsidRPr="007A639F">
        <w:t xml:space="preserve"> Central &amp; Eastern Europe </w:t>
      </w:r>
    </w:p>
  </w:footnote>
  <w:footnote w:id="2">
    <w:p w:rsidR="00441D9C" w:rsidRPr="007A639F" w:rsidRDefault="00441D9C" w:rsidP="00441D9C">
      <w:pPr>
        <w:pStyle w:val="Textonotapie"/>
      </w:pPr>
      <w:r>
        <w:rPr>
          <w:rStyle w:val="Refdenotaalpie"/>
        </w:rPr>
        <w:footnoteRef/>
      </w:r>
      <w:r>
        <w:t xml:space="preserve"> Commonwealth of Independent States (former Soviet Union)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D1E"/>
    <w:multiLevelType w:val="hybridMultilevel"/>
    <w:tmpl w:val="811EE7B6"/>
    <w:lvl w:ilvl="0" w:tplc="5C768032">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6473E1"/>
    <w:multiLevelType w:val="hybridMultilevel"/>
    <w:tmpl w:val="993624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5966C59"/>
    <w:multiLevelType w:val="hybridMultilevel"/>
    <w:tmpl w:val="A268F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855150"/>
    <w:multiLevelType w:val="hybridMultilevel"/>
    <w:tmpl w:val="7464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D588C"/>
    <w:multiLevelType w:val="hybridMultilevel"/>
    <w:tmpl w:val="CF6E6B12"/>
    <w:lvl w:ilvl="0" w:tplc="6A7CAAF4">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2F"/>
    <w:rsid w:val="0009752F"/>
    <w:rsid w:val="000C2CC7"/>
    <w:rsid w:val="00105E76"/>
    <w:rsid w:val="00211D30"/>
    <w:rsid w:val="00241BEA"/>
    <w:rsid w:val="002641AB"/>
    <w:rsid w:val="002D242A"/>
    <w:rsid w:val="002E62D6"/>
    <w:rsid w:val="00356BA3"/>
    <w:rsid w:val="003F2640"/>
    <w:rsid w:val="00441D9C"/>
    <w:rsid w:val="004855DE"/>
    <w:rsid w:val="005F4B1B"/>
    <w:rsid w:val="0064262B"/>
    <w:rsid w:val="006458E5"/>
    <w:rsid w:val="00657219"/>
    <w:rsid w:val="006E40E7"/>
    <w:rsid w:val="009D586E"/>
    <w:rsid w:val="009F1C98"/>
    <w:rsid w:val="00A405D9"/>
    <w:rsid w:val="00AD1B75"/>
    <w:rsid w:val="00B94659"/>
    <w:rsid w:val="00BA278A"/>
    <w:rsid w:val="00C37DE1"/>
    <w:rsid w:val="00CF2F4B"/>
    <w:rsid w:val="00D237F1"/>
    <w:rsid w:val="00D301D6"/>
    <w:rsid w:val="00D80F1D"/>
    <w:rsid w:val="00F7717D"/>
    <w:rsid w:val="00FC7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6D90"/>
  <w15:chartTrackingRefBased/>
  <w15:docId w15:val="{D9404B23-227B-4C5A-A1E9-75694E3E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B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D1B75"/>
    <w:pPr>
      <w:spacing w:after="200" w:line="276" w:lineRule="auto"/>
      <w:ind w:left="720"/>
      <w:contextualSpacing/>
    </w:pPr>
  </w:style>
  <w:style w:type="character" w:styleId="Hipervnculo">
    <w:name w:val="Hyperlink"/>
    <w:basedOn w:val="Fuentedeprrafopredeter"/>
    <w:uiPriority w:val="99"/>
    <w:unhideWhenUsed/>
    <w:rsid w:val="00AD1B75"/>
    <w:rPr>
      <w:color w:val="0563C1" w:themeColor="hyperlink"/>
      <w:u w:val="single"/>
    </w:rPr>
  </w:style>
  <w:style w:type="character" w:styleId="Mencinsinresolver">
    <w:name w:val="Unresolved Mention"/>
    <w:basedOn w:val="Fuentedeprrafopredeter"/>
    <w:uiPriority w:val="99"/>
    <w:semiHidden/>
    <w:unhideWhenUsed/>
    <w:rsid w:val="00AD1B75"/>
    <w:rPr>
      <w:color w:val="605E5C"/>
      <w:shd w:val="clear" w:color="auto" w:fill="E1DFDD"/>
    </w:rPr>
  </w:style>
  <w:style w:type="paragraph" w:styleId="Textonotapie">
    <w:name w:val="footnote text"/>
    <w:basedOn w:val="Normal"/>
    <w:link w:val="TextonotapieCar"/>
    <w:uiPriority w:val="99"/>
    <w:semiHidden/>
    <w:unhideWhenUsed/>
    <w:rsid w:val="00441D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1D9C"/>
    <w:rPr>
      <w:sz w:val="20"/>
      <w:szCs w:val="20"/>
      <w:lang w:val="en-US"/>
    </w:rPr>
  </w:style>
  <w:style w:type="character" w:styleId="Refdenotaalpie">
    <w:name w:val="footnote reference"/>
    <w:basedOn w:val="Fuentedeprrafopredeter"/>
    <w:uiPriority w:val="99"/>
    <w:semiHidden/>
    <w:unhideWhenUsed/>
    <w:rsid w:val="00441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enreinhart.com/data/browse-by-topic/topics/11/" TargetMode="External"/><Relationship Id="rId3" Type="http://schemas.openxmlformats.org/officeDocument/2006/relationships/settings" Target="settings.xml"/><Relationship Id="rId7" Type="http://schemas.openxmlformats.org/officeDocument/2006/relationships/hyperlink" Target="mailto:tboonman@banxico.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imf.org/IF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1249</Words>
  <Characters>6873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Tjeerd Boonman</dc:creator>
  <cp:keywords/>
  <dc:description/>
  <cp:lastModifiedBy>Tjeerd Boonman</cp:lastModifiedBy>
  <cp:revision>21</cp:revision>
  <dcterms:created xsi:type="dcterms:W3CDTF">2019-02-08T17:07:00Z</dcterms:created>
  <dcterms:modified xsi:type="dcterms:W3CDTF">2019-02-08T19:11:00Z</dcterms:modified>
</cp:coreProperties>
</file>